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ascii="Arial" w:hAnsi="Arial" w:cs="Arial"/>
          <w:b/>
          <w:bCs/>
          <w:snapToGrid w:val="0"/>
          <w:kern w:val="0"/>
          <w:sz w:val="24"/>
        </w:rPr>
      </w:pPr>
      <w:r>
        <w:rPr>
          <w:rFonts w:hint="eastAsia" w:ascii="Arial" w:hAnsi="Arial" w:cs="Arial"/>
          <w:b/>
          <w:bCs/>
          <w:snapToGrid w:val="0"/>
          <w:kern w:val="0"/>
          <w:sz w:val="24"/>
        </w:rPr>
        <w:t>3GPP TSG RAN WG2 Meeting #109bis-</w:t>
      </w:r>
      <w:r>
        <w:rPr>
          <w:rFonts w:ascii="Arial" w:hAnsi="Arial" w:cs="Arial"/>
          <w:b/>
          <w:bCs/>
          <w:snapToGrid w:val="0"/>
          <w:kern w:val="0"/>
          <w:sz w:val="24"/>
        </w:rPr>
        <w:t>e</w:t>
      </w:r>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 xml:space="preserve">   R2-</w:t>
      </w:r>
      <w:r>
        <w:rPr>
          <w:rFonts w:ascii="Arial" w:hAnsi="Arial" w:cs="Arial"/>
          <w:b/>
          <w:bCs/>
          <w:snapToGrid w:val="0"/>
          <w:kern w:val="0"/>
          <w:sz w:val="24"/>
        </w:rPr>
        <w:t>2003423</w:t>
      </w:r>
    </w:p>
    <w:p>
      <w:pPr>
        <w:overflowPunct w:val="0"/>
        <w:autoSpaceDE w:val="0"/>
        <w:autoSpaceDN w:val="0"/>
        <w:adjustRightInd w:val="0"/>
        <w:snapToGrid w:val="0"/>
        <w:jc w:val="left"/>
        <w:textAlignment w:val="baseline"/>
        <w:rPr>
          <w:rFonts w:ascii="Arial" w:hAnsi="Arial" w:cs="Arial"/>
          <w:b/>
          <w:bCs/>
          <w:kern w:val="0"/>
          <w:sz w:val="24"/>
        </w:rPr>
      </w:pPr>
      <w:r>
        <w:rPr>
          <w:rFonts w:ascii="Arial" w:hAnsi="Arial" w:cs="Arial"/>
          <w:b/>
          <w:bCs/>
          <w:kern w:val="0"/>
          <w:sz w:val="24"/>
        </w:rPr>
        <w:t>Electronic</w:t>
      </w:r>
      <w:r>
        <w:rPr>
          <w:rFonts w:hint="eastAsia" w:ascii="Arial" w:hAnsi="Arial" w:cs="Arial"/>
          <w:b/>
          <w:bCs/>
          <w:kern w:val="0"/>
          <w:sz w:val="24"/>
        </w:rPr>
        <w:t>,</w:t>
      </w:r>
      <w:r>
        <w:rPr>
          <w:rFonts w:hint="eastAsia" w:ascii="Arial" w:hAnsi="Arial" w:eastAsia="宋体" w:cs="Arial"/>
          <w:b/>
          <w:bCs/>
          <w:kern w:val="0"/>
          <w:sz w:val="24"/>
        </w:rPr>
        <w:t xml:space="preserve"> </w:t>
      </w:r>
      <w:r>
        <w:rPr>
          <w:rFonts w:hint="eastAsia" w:ascii="Arial" w:hAnsi="Arial" w:cs="Arial"/>
          <w:b/>
          <w:bCs/>
          <w:kern w:val="0"/>
          <w:sz w:val="24"/>
        </w:rPr>
        <w:t>2</w:t>
      </w:r>
      <w:r>
        <w:rPr>
          <w:rFonts w:hint="eastAsia" w:ascii="Arial" w:hAnsi="Arial" w:eastAsia="宋体" w:cs="Arial"/>
          <w:b/>
          <w:bCs/>
          <w:kern w:val="0"/>
          <w:sz w:val="24"/>
        </w:rPr>
        <w:t>0 - 30</w:t>
      </w:r>
      <w:r>
        <w:rPr>
          <w:rFonts w:ascii="Arial" w:hAnsi="Arial" w:cs="Arial"/>
          <w:b/>
          <w:bCs/>
          <w:kern w:val="0"/>
          <w:sz w:val="24"/>
        </w:rPr>
        <w:t xml:space="preserve"> </w:t>
      </w:r>
      <w:r>
        <w:rPr>
          <w:rFonts w:hint="eastAsia" w:ascii="Arial" w:hAnsi="Arial" w:cs="Arial"/>
          <w:b/>
          <w:bCs/>
          <w:kern w:val="0"/>
          <w:sz w:val="24"/>
        </w:rPr>
        <w:t xml:space="preserve">April 2020                                 </w:t>
      </w:r>
    </w:p>
    <w:p>
      <w:pPr>
        <w:overflowPunct w:val="0"/>
        <w:autoSpaceDE w:val="0"/>
        <w:autoSpaceDN w:val="0"/>
        <w:adjustRightInd w:val="0"/>
        <w:snapToGrid w:val="0"/>
        <w:jc w:val="left"/>
        <w:textAlignment w:val="baseline"/>
        <w:rPr>
          <w:rFonts w:ascii="Arial" w:hAnsi="Arial" w:cs="Arial"/>
          <w:b/>
          <w:bCs/>
          <w:snapToGrid w:val="0"/>
          <w:kern w:val="0"/>
          <w:sz w:val="24"/>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Remaining issues for CPC</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6.9.4.1</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hint="eastAsia" w:ascii="Arial" w:hAnsi="Arial" w:cs="Arial"/>
          <w:b/>
          <w:bCs/>
          <w:snapToGrid w:val="0"/>
          <w:kern w:val="0"/>
          <w:sz w:val="24"/>
          <w:lang w:val="en-US" w:eastAsia="zh-CN"/>
        </w:rPr>
        <w:t xml:space="preserve">   </w:t>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bookmarkStart w:id="2" w:name="OLE_LINK1"/>
      <w:r>
        <w:rPr>
          <w:rFonts w:hint="eastAsia"/>
        </w:rPr>
        <w:t>In Rel-16, RAN2 introduces intra-SN conditional PSCell change (CPC). In this contribution, we discuss some remaining issues for CPC.</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bookmarkEnd w:id="2"/>
    <w:p>
      <w:pPr>
        <w:rPr>
          <w:rFonts w:eastAsia="宋体"/>
          <w:b/>
          <w:szCs w:val="21"/>
          <w:u w:val="single"/>
        </w:rPr>
      </w:pPr>
      <w:r>
        <w:rPr>
          <w:rFonts w:hint="eastAsia" w:eastAsia="宋体"/>
          <w:b/>
          <w:szCs w:val="21"/>
          <w:u w:val="single"/>
        </w:rPr>
        <w:t>Issue 1: On informing the execution of CPC via SRB3</w:t>
      </w:r>
    </w:p>
    <w:p>
      <w:pPr>
        <w:rPr>
          <w:bCs/>
          <w:szCs w:val="21"/>
        </w:rPr>
      </w:pPr>
      <w:r>
        <w:rPr>
          <w:rFonts w:hint="eastAsia"/>
          <w:bCs/>
          <w:szCs w:val="21"/>
        </w:rPr>
        <w:t xml:space="preserve">When no SRB3 is configured, the CPC configuration is transferred to the UE via the MN over SRB1, i.e. the MN transfers a </w:t>
      </w:r>
      <w:r>
        <w:rPr>
          <w:rFonts w:hint="eastAsia"/>
          <w:bCs/>
          <w:i/>
          <w:iCs/>
          <w:szCs w:val="21"/>
        </w:rPr>
        <w:t>RRCReconfiguration</w:t>
      </w:r>
      <w:r>
        <w:rPr>
          <w:rFonts w:hint="eastAsia"/>
          <w:bCs/>
          <w:szCs w:val="21"/>
        </w:rPr>
        <w:t xml:space="preserve"> message to the UE includes an embedded SN </w:t>
      </w:r>
      <w:r>
        <w:rPr>
          <w:rFonts w:hint="eastAsia"/>
          <w:bCs/>
          <w:i/>
          <w:iCs/>
          <w:szCs w:val="21"/>
        </w:rPr>
        <w:t>RRCReconfiguration</w:t>
      </w:r>
      <w:r>
        <w:rPr>
          <w:rFonts w:hint="eastAsia"/>
          <w:bCs/>
          <w:szCs w:val="21"/>
        </w:rPr>
        <w:t xml:space="preserve"> message. At reception of the </w:t>
      </w:r>
      <w:r>
        <w:rPr>
          <w:rFonts w:hint="eastAsia"/>
          <w:bCs/>
          <w:i/>
          <w:iCs/>
          <w:szCs w:val="21"/>
        </w:rPr>
        <w:t>RRCReconfiguration</w:t>
      </w:r>
      <w:r>
        <w:rPr>
          <w:rFonts w:hint="eastAsia"/>
          <w:bCs/>
          <w:szCs w:val="21"/>
        </w:rPr>
        <w:t xml:space="preserve"> message and execution of CPC, the UE shall send a </w:t>
      </w:r>
      <w:r>
        <w:rPr>
          <w:rFonts w:hint="eastAsia"/>
          <w:bCs/>
          <w:i/>
          <w:iCs/>
          <w:szCs w:val="21"/>
        </w:rPr>
        <w:t>RRCReconfigurationComplete</w:t>
      </w:r>
      <w:r>
        <w:rPr>
          <w:rFonts w:hint="eastAsia"/>
          <w:bCs/>
          <w:szCs w:val="21"/>
        </w:rPr>
        <w:t xml:space="preserve"> message to the MN respectively, i.e the complete message to MN includes an embedded complete message to the SN, and then the MN informs the SN. However, in case SRB3 is configured for the target cell, it seems the UE can directly inform the SN via SRB3, instead of responding the complete message via the MN since the MN is not involved in the execution of intra-SN CPC. Besides, given that one </w:t>
      </w:r>
      <w:r>
        <w:rPr>
          <w:rFonts w:hint="eastAsia"/>
          <w:bCs/>
          <w:i/>
          <w:iCs/>
          <w:szCs w:val="21"/>
        </w:rPr>
        <w:t>RRCReconfigurationComplete</w:t>
      </w:r>
      <w:r>
        <w:rPr>
          <w:rFonts w:hint="eastAsia"/>
          <w:bCs/>
          <w:szCs w:val="21"/>
        </w:rPr>
        <w:t xml:space="preserve"> message is replied to the MN upon reception of the </w:t>
      </w:r>
      <w:r>
        <w:rPr>
          <w:rFonts w:hint="eastAsia"/>
          <w:bCs/>
          <w:i/>
          <w:iCs/>
          <w:szCs w:val="21"/>
        </w:rPr>
        <w:t>RRCReconfiguration</w:t>
      </w:r>
      <w:r>
        <w:rPr>
          <w:rFonts w:hint="eastAsia"/>
          <w:bCs/>
          <w:szCs w:val="21"/>
        </w:rPr>
        <w:t xml:space="preserve"> message, directly transmitting the second </w:t>
      </w:r>
      <w:r>
        <w:rPr>
          <w:rFonts w:hint="eastAsia"/>
          <w:bCs/>
          <w:i/>
          <w:iCs/>
          <w:szCs w:val="21"/>
        </w:rPr>
        <w:t>RRCReconfigurationComplete</w:t>
      </w:r>
      <w:r>
        <w:rPr>
          <w:rFonts w:hint="eastAsia"/>
          <w:bCs/>
          <w:szCs w:val="21"/>
        </w:rPr>
        <w:t xml:space="preserve"> message to the SN upon execution of CPC shall not violate the principle of transmitting message via the same path as receiving. In this way, the transaction ID issue[1] due to two </w:t>
      </w:r>
      <w:r>
        <w:rPr>
          <w:rFonts w:hint="eastAsia"/>
          <w:bCs/>
          <w:i/>
          <w:iCs/>
          <w:szCs w:val="21"/>
        </w:rPr>
        <w:t>RRCReconfigurationComplete</w:t>
      </w:r>
      <w:r>
        <w:rPr>
          <w:rFonts w:hint="eastAsia"/>
          <w:bCs/>
          <w:szCs w:val="21"/>
        </w:rPr>
        <w:t xml:space="preserve"> messages sent to the MN can also be avoided. Therefore, we propose that at the execution of CPC, the UE sends a </w:t>
      </w:r>
      <w:r>
        <w:rPr>
          <w:rFonts w:hint="eastAsia"/>
          <w:bCs/>
          <w:i/>
          <w:iCs/>
          <w:szCs w:val="21"/>
        </w:rPr>
        <w:t>RRCReconfigurationComplete</w:t>
      </w:r>
      <w:r>
        <w:rPr>
          <w:rFonts w:hint="eastAsia"/>
          <w:bCs/>
          <w:szCs w:val="21"/>
        </w:rPr>
        <w:t xml:space="preserve"> message to the SN via SRB3, if configured, regardless of whether the </w:t>
      </w:r>
      <w:r>
        <w:rPr>
          <w:rFonts w:hint="eastAsia"/>
          <w:bCs/>
          <w:i/>
          <w:iCs/>
          <w:szCs w:val="21"/>
        </w:rPr>
        <w:t>RRCreconfiguration</w:t>
      </w:r>
      <w:r>
        <w:rPr>
          <w:rFonts w:hint="eastAsia"/>
          <w:bCs/>
          <w:szCs w:val="21"/>
        </w:rPr>
        <w:t xml:space="preserve"> message is sent to the UE via SRB3 or SRB1.</w:t>
      </w:r>
    </w:p>
    <w:p>
      <w:pPr>
        <w:rPr>
          <w:b/>
          <w:szCs w:val="21"/>
        </w:rPr>
      </w:pPr>
      <w:r>
        <w:rPr>
          <w:rFonts w:hint="eastAsia"/>
          <w:b/>
          <w:szCs w:val="21"/>
        </w:rPr>
        <w:t xml:space="preserve">Proposal 1: At the execution of CPC, the UE sends a </w:t>
      </w:r>
      <w:r>
        <w:rPr>
          <w:rFonts w:hint="eastAsia"/>
          <w:b/>
          <w:i/>
          <w:iCs/>
          <w:szCs w:val="21"/>
        </w:rPr>
        <w:t>RRCReconfigurationComplete</w:t>
      </w:r>
      <w:r>
        <w:rPr>
          <w:rFonts w:hint="eastAsia"/>
          <w:b/>
          <w:szCs w:val="21"/>
        </w:rPr>
        <w:t xml:space="preserve"> message to the SN via SRB3, if configured, regardless of whether the </w:t>
      </w:r>
      <w:r>
        <w:rPr>
          <w:rFonts w:hint="eastAsia"/>
          <w:b/>
          <w:i/>
          <w:iCs/>
          <w:szCs w:val="21"/>
        </w:rPr>
        <w:t>RRCreconfiguration</w:t>
      </w:r>
      <w:r>
        <w:rPr>
          <w:rFonts w:hint="eastAsia"/>
          <w:b/>
          <w:szCs w:val="21"/>
        </w:rPr>
        <w:t xml:space="preserve"> message is sent to the UE via SRB3 or SRB1.</w:t>
      </w:r>
    </w:p>
    <w:p>
      <w:pPr>
        <w:rPr>
          <w:b/>
          <w:szCs w:val="21"/>
        </w:rPr>
      </w:pPr>
    </w:p>
    <w:p>
      <w:pPr>
        <w:rPr>
          <w:rFonts w:eastAsia="宋体"/>
          <w:b/>
          <w:szCs w:val="21"/>
          <w:u w:val="single"/>
        </w:rPr>
      </w:pPr>
      <w:r>
        <w:rPr>
          <w:rFonts w:hint="eastAsia" w:eastAsia="宋体"/>
          <w:b/>
          <w:szCs w:val="21"/>
          <w:u w:val="single"/>
        </w:rPr>
        <w:t>Issue 2: On informing the selected PSCell to the target gNB-CU in case of CU/DU split</w:t>
      </w:r>
    </w:p>
    <w:p>
      <w:pPr>
        <w:rPr>
          <w:rFonts w:eastAsia="宋体"/>
          <w:bCs/>
          <w:szCs w:val="21"/>
        </w:rPr>
      </w:pPr>
      <w:r>
        <w:rPr>
          <w:rFonts w:hint="eastAsia" w:eastAsia="宋体"/>
          <w:bCs/>
          <w:szCs w:val="21"/>
        </w:rPr>
        <w:t xml:space="preserve">In case of intra-CU CPC, multiple candidate PSCells can be configured in one gNB-DU or multiple gNB-DUs linked with one gNB-CU. And multiple candidate PSCells can be sent in either one or multiple RRC messages. Upon triggering the execution of CPC, the UE shall perform RA to the selected PSCell resided in the target gNB-DU and send the </w:t>
      </w:r>
      <w:r>
        <w:rPr>
          <w:rFonts w:hint="eastAsia" w:eastAsia="宋体"/>
          <w:bCs/>
          <w:i/>
          <w:iCs/>
          <w:szCs w:val="21"/>
        </w:rPr>
        <w:t>RRCReconfigurationComplete</w:t>
      </w:r>
      <w:r>
        <w:rPr>
          <w:rFonts w:hint="eastAsia" w:eastAsia="宋体"/>
          <w:bCs/>
          <w:szCs w:val="21"/>
        </w:rPr>
        <w:t xml:space="preserve"> message to the target gNB-DU if SRB3 is configured. Then the target gNB-DU shall send the UL RRC MESSAGE TRANSFER message to transfer the </w:t>
      </w:r>
      <w:r>
        <w:rPr>
          <w:rFonts w:hint="eastAsia" w:eastAsia="宋体"/>
          <w:bCs/>
          <w:i/>
          <w:iCs/>
          <w:szCs w:val="21"/>
        </w:rPr>
        <w:t>RRCReconfigurationComplete</w:t>
      </w:r>
      <w:r>
        <w:rPr>
          <w:rFonts w:hint="eastAsia" w:eastAsia="宋体"/>
          <w:bCs/>
          <w:szCs w:val="21"/>
        </w:rPr>
        <w:t xml:space="preserve"> message (if any) to the gNB-CU over the F1-C interface. In case SRB3 is not configured, at the execution of CPC, the UE shall send a </w:t>
      </w:r>
      <w:r>
        <w:rPr>
          <w:rFonts w:hint="eastAsia" w:eastAsia="宋体"/>
          <w:bCs/>
          <w:i/>
          <w:iCs/>
          <w:szCs w:val="21"/>
        </w:rPr>
        <w:t>RRCReconfigurationComplete</w:t>
      </w:r>
      <w:r>
        <w:rPr>
          <w:rFonts w:hint="eastAsia" w:eastAsia="宋体"/>
          <w:bCs/>
          <w:szCs w:val="21"/>
        </w:rPr>
        <w:t xml:space="preserve"> message to the MN including an embedded </w:t>
      </w:r>
      <w:r>
        <w:rPr>
          <w:rFonts w:hint="eastAsia" w:eastAsia="宋体"/>
          <w:bCs/>
          <w:i/>
          <w:iCs/>
          <w:szCs w:val="21"/>
        </w:rPr>
        <w:t>RRCReconfigurationComplete</w:t>
      </w:r>
      <w:r>
        <w:rPr>
          <w:rFonts w:hint="eastAsia" w:eastAsia="宋体"/>
          <w:bCs/>
          <w:szCs w:val="21"/>
        </w:rPr>
        <w:t xml:space="preserve"> message to the SN, and then the MN shall transfer the SN </w:t>
      </w:r>
      <w:r>
        <w:rPr>
          <w:rFonts w:hint="eastAsia" w:eastAsia="宋体"/>
          <w:bCs/>
          <w:i/>
          <w:iCs/>
          <w:szCs w:val="21"/>
        </w:rPr>
        <w:t>RRCreconfigurationComplete</w:t>
      </w:r>
      <w:r>
        <w:rPr>
          <w:rFonts w:hint="eastAsia" w:eastAsia="宋体"/>
          <w:bCs/>
          <w:szCs w:val="21"/>
        </w:rPr>
        <w:t xml:space="preserve"> message to the SN gNB-CU via Xn/X2 signaling</w:t>
      </w:r>
      <w:r>
        <w:rPr>
          <w:rFonts w:hint="eastAsia"/>
          <w:szCs w:val="21"/>
        </w:rPr>
        <w:t>.</w:t>
      </w:r>
      <w:r>
        <w:rPr>
          <w:rFonts w:hint="eastAsia" w:eastAsia="宋体"/>
          <w:bCs/>
          <w:szCs w:val="21"/>
        </w:rPr>
        <w:t xml:space="preserve"> However, if multiple candidate PSCells are configured in one gNB-DU, the gNB-CU may have no idea of which candidate PSCell is selected by the UE since there is no target cell information included in the existing UL RRC MESSAGE TRANSFER or </w:t>
      </w:r>
      <w:r>
        <w:rPr>
          <w:rFonts w:hint="eastAsia" w:eastAsia="宋体"/>
          <w:bCs/>
          <w:i/>
          <w:iCs/>
          <w:szCs w:val="21"/>
        </w:rPr>
        <w:t>RRCReconfigurationComplete</w:t>
      </w:r>
      <w:r>
        <w:rPr>
          <w:rFonts w:hint="eastAsia" w:eastAsia="宋体"/>
          <w:bCs/>
          <w:szCs w:val="21"/>
        </w:rPr>
        <w:t xml:space="preserve"> message. </w:t>
      </w:r>
    </w:p>
    <w:p>
      <w:pPr>
        <w:rPr>
          <w:rFonts w:eastAsia="宋体"/>
          <w:bCs/>
          <w:i/>
          <w:iCs/>
          <w:szCs w:val="21"/>
        </w:rPr>
      </w:pPr>
      <w:r>
        <w:rPr>
          <w:rFonts w:hint="eastAsia" w:eastAsia="宋体"/>
          <w:bCs/>
          <w:i/>
          <w:iCs/>
          <w:szCs w:val="21"/>
        </w:rPr>
        <w:t xml:space="preserve">Observation 1: In case multiple candidate PSCells are configured in one gNB-DU, the gNB-CU may have no idea of which candidate PSCell is selected by the UE since there is no target cell information included in the message (e.g. UL RRC MESSAGE TRANSFER or RRCReconfigurationComplete message) transferred to the target gNB-CU. </w:t>
      </w:r>
    </w:p>
    <w:p>
      <w:pPr>
        <w:rPr>
          <w:rFonts w:eastAsia="宋体"/>
          <w:bCs/>
          <w:szCs w:val="21"/>
        </w:rPr>
      </w:pPr>
      <w:r>
        <w:rPr>
          <w:rFonts w:hint="eastAsia" w:eastAsia="宋体"/>
          <w:bCs/>
          <w:szCs w:val="21"/>
        </w:rPr>
        <w:t>Considering both RAN2 and RAN3 signaling are involved in the procedure to inform the gNB-CU about the execution of CPC, we can consider to indicate the selected PSCell to the target gNB-CU from RAN2 or RAN3 aspect as follows:</w:t>
      </w:r>
    </w:p>
    <w:p>
      <w:pPr>
        <w:numPr>
          <w:ilvl w:val="0"/>
          <w:numId w:val="4"/>
        </w:numPr>
        <w:rPr>
          <w:rFonts w:eastAsia="宋体"/>
          <w:bCs/>
          <w:szCs w:val="21"/>
        </w:rPr>
      </w:pPr>
      <w:r>
        <w:rPr>
          <w:rFonts w:hint="eastAsia" w:eastAsia="宋体"/>
          <w:bCs/>
          <w:szCs w:val="21"/>
        </w:rPr>
        <w:t>Alt. 1 (RAN2 based solution): include the indication of selected cell identification information (e.g. candidate conditional configuration index)</w:t>
      </w:r>
      <w:r>
        <w:rPr>
          <w:rFonts w:eastAsia="宋体"/>
          <w:bCs/>
          <w:szCs w:val="21"/>
        </w:rPr>
        <w:t xml:space="preserve"> in the </w:t>
      </w:r>
      <w:r>
        <w:rPr>
          <w:rFonts w:hint="eastAsia" w:eastAsia="宋体"/>
          <w:bCs/>
          <w:i/>
          <w:iCs/>
          <w:szCs w:val="21"/>
        </w:rPr>
        <w:t>RRCReconfigurationComplete</w:t>
      </w:r>
      <w:r>
        <w:rPr>
          <w:rFonts w:eastAsia="宋体"/>
          <w:bCs/>
          <w:szCs w:val="21"/>
        </w:rPr>
        <w:t xml:space="preserve"> message.</w:t>
      </w:r>
    </w:p>
    <w:p>
      <w:pPr>
        <w:numPr>
          <w:ilvl w:val="0"/>
          <w:numId w:val="4"/>
        </w:numPr>
        <w:rPr>
          <w:rFonts w:eastAsia="宋体"/>
          <w:bCs/>
          <w:szCs w:val="21"/>
        </w:rPr>
      </w:pPr>
      <w:r>
        <w:rPr>
          <w:rFonts w:hint="eastAsia" w:eastAsia="宋体"/>
          <w:bCs/>
          <w:szCs w:val="21"/>
        </w:rPr>
        <w:t>Alt. 2 (RAN3 based solution): leave this issue to RAN3 and send one LS to inform RAN3 about this.</w:t>
      </w:r>
    </w:p>
    <w:p>
      <w:r>
        <w:rPr>
          <w:rFonts w:hint="eastAsia" w:eastAsia="宋体"/>
          <w:bCs/>
          <w:szCs w:val="21"/>
        </w:rPr>
        <w:t xml:space="preserve">Considering the </w:t>
      </w:r>
      <w:r>
        <w:rPr>
          <w:rFonts w:hint="eastAsia" w:eastAsia="宋体"/>
          <w:bCs/>
          <w:i/>
          <w:iCs/>
          <w:szCs w:val="21"/>
        </w:rPr>
        <w:t>RRCReconfigurationComplete</w:t>
      </w:r>
      <w:r>
        <w:rPr>
          <w:rFonts w:hint="eastAsia" w:eastAsia="宋体"/>
          <w:bCs/>
          <w:szCs w:val="21"/>
        </w:rPr>
        <w:t xml:space="preserve"> message is always sent to the gNB-CU via the MN or SRB3, while the RAN3 message (e.g. UL RRC MESSAGE TRANSFER) may not be triggered by gNB-DU to transfer </w:t>
      </w:r>
      <w:r>
        <w:rPr>
          <w:rFonts w:hint="eastAsia" w:eastAsia="宋体"/>
          <w:bCs/>
          <w:i/>
          <w:iCs/>
          <w:szCs w:val="21"/>
        </w:rPr>
        <w:t>RRCReconfigurationComplete</w:t>
      </w:r>
      <w:r>
        <w:rPr>
          <w:rFonts w:hint="eastAsia" w:eastAsia="宋体"/>
          <w:bCs/>
          <w:szCs w:val="21"/>
        </w:rPr>
        <w:t xml:space="preserve"> message to the gNB-CU upon random access is performed in case SRB3 is not configured, we slightly </w:t>
      </w:r>
      <w:r>
        <w:rPr>
          <w:rFonts w:hint="eastAsia"/>
        </w:rPr>
        <w:t xml:space="preserve">prefer Alt.1. But we are also fine to let RAN3 solve the issue and send a LS to RAN3 to ask them consider a solution on informing the selected target PSCell to the gNB-CU. </w:t>
      </w:r>
    </w:p>
    <w:p>
      <w:pPr>
        <w:rPr>
          <w:b/>
          <w:szCs w:val="21"/>
        </w:rPr>
      </w:pPr>
      <w:r>
        <w:rPr>
          <w:rFonts w:hint="eastAsia"/>
          <w:b/>
          <w:szCs w:val="21"/>
        </w:rPr>
        <w:t>Proposal 2: RAN2 to consider how to inform the selected PSCell to the target gNB-CU:</w:t>
      </w:r>
    </w:p>
    <w:p>
      <w:pPr>
        <w:numPr>
          <w:ilvl w:val="0"/>
          <w:numId w:val="4"/>
        </w:numPr>
        <w:rPr>
          <w:rFonts w:eastAsia="宋体"/>
          <w:b/>
          <w:szCs w:val="21"/>
        </w:rPr>
      </w:pPr>
      <w:r>
        <w:rPr>
          <w:rFonts w:hint="eastAsia" w:eastAsia="宋体"/>
          <w:b/>
          <w:szCs w:val="21"/>
        </w:rPr>
        <w:t>Alt. 1 (RAN2 based solution): include the indication of selected cell identification information (e.g. candidate conditional configuration index)</w:t>
      </w:r>
      <w:r>
        <w:rPr>
          <w:rFonts w:eastAsia="宋体"/>
          <w:b/>
          <w:szCs w:val="21"/>
        </w:rPr>
        <w:t xml:space="preserve"> in the </w:t>
      </w:r>
      <w:r>
        <w:rPr>
          <w:rFonts w:hint="eastAsia" w:eastAsia="宋体"/>
          <w:b/>
          <w:i/>
          <w:iCs/>
          <w:szCs w:val="21"/>
        </w:rPr>
        <w:t>RRCReconfigurationComplete</w:t>
      </w:r>
      <w:r>
        <w:rPr>
          <w:rFonts w:eastAsia="宋体"/>
          <w:b/>
          <w:szCs w:val="21"/>
        </w:rPr>
        <w:t xml:space="preserve"> message.</w:t>
      </w:r>
    </w:p>
    <w:p>
      <w:pPr>
        <w:numPr>
          <w:ilvl w:val="0"/>
          <w:numId w:val="4"/>
        </w:numPr>
        <w:rPr>
          <w:rFonts w:eastAsia="宋体"/>
          <w:b/>
          <w:szCs w:val="21"/>
        </w:rPr>
      </w:pPr>
      <w:r>
        <w:rPr>
          <w:rFonts w:hint="eastAsia" w:eastAsia="宋体"/>
          <w:b/>
          <w:szCs w:val="21"/>
        </w:rPr>
        <w:t>Alt. 2 (RAN3 based solution): leave this issue to RAN3 and send one LS to inform RAN3 about this.</w:t>
      </w:r>
    </w:p>
    <w:p>
      <w:pPr>
        <w:rPr>
          <w:b/>
          <w:bCs/>
        </w:rPr>
      </w:pPr>
    </w:p>
    <w:p>
      <w:pPr>
        <w:rPr>
          <w:rFonts w:eastAsia="宋体"/>
          <w:b/>
          <w:szCs w:val="21"/>
          <w:u w:val="single"/>
        </w:rPr>
      </w:pPr>
      <w:r>
        <w:rPr>
          <w:rFonts w:hint="eastAsia" w:eastAsia="宋体"/>
          <w:b/>
          <w:szCs w:val="21"/>
          <w:u w:val="single"/>
        </w:rPr>
        <w:t>Issue 3: Whether target CPC configuration can be configured with legacy HO command</w:t>
      </w:r>
    </w:p>
    <w:p>
      <w:pPr>
        <w:rPr>
          <w:bCs/>
          <w:szCs w:val="21"/>
        </w:rPr>
      </w:pPr>
      <w:r>
        <w:rPr>
          <w:rFonts w:hint="eastAsia"/>
          <w:bCs/>
          <w:szCs w:val="21"/>
        </w:rPr>
        <w:t>At last meeting, we discussed whether to allow target CHO configuration in legacy HO command or target CHO configuration in target CHO command and decided not to support such scenarios in the Rel-16. However, we have not clearly clarified whether target CPC configuration in legacy HO command or target CPC configuration in target CPC command is supported. Similar to CHO, although RAN2 signaling has supported such configuration, it may have potential impact on SA3 and RAN3 for inter-gNB target PSCell candidates. However, as discussed in our companion contribution</w:t>
      </w:r>
      <w:r>
        <w:rPr>
          <w:bCs/>
          <w:szCs w:val="21"/>
        </w:rPr>
        <w:t xml:space="preserve"> </w:t>
      </w:r>
      <w:r>
        <w:rPr>
          <w:rFonts w:hint="eastAsia"/>
          <w:bCs/>
          <w:szCs w:val="21"/>
        </w:rPr>
        <w:t>[2], the conventional HO may have some impact on the CPC. The NW may want to release the CPC configuration upon configuring the conventional PCell change. So it may have some benefits to allow including CPC configuration in the legacy HO command to release the CPC configurations stored in the UE. And there is no potential impact on other working group in such case. But considering the limited time in Rel-16, we are also fine to postpone the issue to the later releases, as CHO. Anyway, we think it</w:t>
      </w:r>
      <w:r>
        <w:rPr>
          <w:bCs/>
          <w:szCs w:val="21"/>
        </w:rPr>
        <w:t>’</w:t>
      </w:r>
      <w:r>
        <w:rPr>
          <w:rFonts w:hint="eastAsia"/>
          <w:bCs/>
          <w:szCs w:val="21"/>
        </w:rPr>
        <w:t xml:space="preserve">s better to clarify whether to support target CPC configuration in legacy HO command or target CPC configuration in target CPC command in the Rel-16. </w:t>
      </w:r>
    </w:p>
    <w:p>
      <w:r>
        <w:rPr>
          <w:rFonts w:hint="eastAsia"/>
          <w:b/>
          <w:szCs w:val="21"/>
        </w:rPr>
        <w:t>Proposal 3: RAN2 to clarify whether to support target CPC configuration in legacy HO command or target CPC configuration in</w:t>
      </w:r>
      <w:bookmarkStart w:id="3" w:name="_GoBack"/>
      <w:bookmarkEnd w:id="3"/>
      <w:r>
        <w:rPr>
          <w:rFonts w:hint="eastAsia"/>
          <w:b/>
          <w:szCs w:val="21"/>
        </w:rPr>
        <w:t xml:space="preserve"> target CPC command in the Rel-16.</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r>
        <w:t>In this contribution,</w:t>
      </w:r>
      <w:r>
        <w:rPr>
          <w:rFonts w:hint="eastAsia"/>
        </w:rPr>
        <w:t xml:space="preserve"> we discuss some remaining issues for CPC with the following observations and proposals:</w:t>
      </w:r>
    </w:p>
    <w:p>
      <w:pPr>
        <w:rPr>
          <w:b/>
          <w:szCs w:val="21"/>
        </w:rPr>
      </w:pPr>
      <w:r>
        <w:rPr>
          <w:rFonts w:hint="eastAsia"/>
          <w:b/>
          <w:szCs w:val="21"/>
        </w:rPr>
        <w:t xml:space="preserve">Proposal 1: At the execution of CPC, the UE sends a </w:t>
      </w:r>
      <w:r>
        <w:rPr>
          <w:rFonts w:hint="eastAsia"/>
          <w:b/>
          <w:i/>
          <w:iCs/>
          <w:szCs w:val="21"/>
        </w:rPr>
        <w:t>RRCReconfigurationComplete</w:t>
      </w:r>
      <w:r>
        <w:rPr>
          <w:rFonts w:hint="eastAsia"/>
          <w:b/>
          <w:szCs w:val="21"/>
        </w:rPr>
        <w:t xml:space="preserve"> message to the SN via SRB3, if configured, regardless of whether the </w:t>
      </w:r>
      <w:r>
        <w:rPr>
          <w:rFonts w:hint="eastAsia"/>
          <w:b/>
          <w:i/>
          <w:iCs/>
          <w:szCs w:val="21"/>
        </w:rPr>
        <w:t>RRCreconfiguration</w:t>
      </w:r>
      <w:r>
        <w:rPr>
          <w:rFonts w:hint="eastAsia"/>
          <w:b/>
          <w:szCs w:val="21"/>
        </w:rPr>
        <w:t xml:space="preserve"> message is sent to the UE via SRB3 or SRB1.</w:t>
      </w:r>
    </w:p>
    <w:p>
      <w:pPr>
        <w:rPr>
          <w:rFonts w:eastAsia="宋体"/>
          <w:bCs/>
          <w:i/>
          <w:iCs/>
          <w:szCs w:val="21"/>
        </w:rPr>
      </w:pPr>
      <w:r>
        <w:rPr>
          <w:rFonts w:hint="eastAsia" w:eastAsia="宋体"/>
          <w:bCs/>
          <w:i/>
          <w:iCs/>
          <w:szCs w:val="21"/>
        </w:rPr>
        <w:t xml:space="preserve">Observation 1: In case multiple candidate PSCells are configured in one gNB-DU, the gNB-CU may have no idea of which candidate PSCell is selected by the UE since there is no target cell information included in the message (e.g. UL RRC MESSAGE TRANSFER or RRCReconfigurationComplete message) transferred to the target gNB-CU. </w:t>
      </w:r>
    </w:p>
    <w:p>
      <w:pPr>
        <w:rPr>
          <w:b/>
          <w:szCs w:val="21"/>
        </w:rPr>
      </w:pPr>
      <w:r>
        <w:rPr>
          <w:rFonts w:hint="eastAsia"/>
          <w:b/>
          <w:szCs w:val="21"/>
        </w:rPr>
        <w:t>Proposal 2: RAN2 to consider how to inform the selected PSCell to the target gNB-CU:</w:t>
      </w:r>
    </w:p>
    <w:p>
      <w:pPr>
        <w:numPr>
          <w:ilvl w:val="0"/>
          <w:numId w:val="4"/>
        </w:numPr>
        <w:rPr>
          <w:rFonts w:eastAsia="宋体"/>
          <w:b/>
          <w:szCs w:val="21"/>
        </w:rPr>
      </w:pPr>
      <w:r>
        <w:rPr>
          <w:rFonts w:hint="eastAsia" w:eastAsia="宋体"/>
          <w:b/>
          <w:szCs w:val="21"/>
        </w:rPr>
        <w:t>Alt. 1 (RAN2 based solution): include the indication of selected cell identification information (e.g. candidate conditional configuration index)</w:t>
      </w:r>
      <w:r>
        <w:rPr>
          <w:rFonts w:eastAsia="宋体"/>
          <w:b/>
          <w:szCs w:val="21"/>
        </w:rPr>
        <w:t xml:space="preserve"> in the </w:t>
      </w:r>
      <w:r>
        <w:rPr>
          <w:rFonts w:hint="eastAsia" w:eastAsia="宋体"/>
          <w:b/>
          <w:i/>
          <w:iCs/>
          <w:szCs w:val="21"/>
        </w:rPr>
        <w:t>RRCReconfigurationComplete</w:t>
      </w:r>
      <w:r>
        <w:rPr>
          <w:rFonts w:eastAsia="宋体"/>
          <w:b/>
          <w:szCs w:val="21"/>
        </w:rPr>
        <w:t xml:space="preserve"> message.</w:t>
      </w:r>
    </w:p>
    <w:p>
      <w:pPr>
        <w:numPr>
          <w:ilvl w:val="0"/>
          <w:numId w:val="4"/>
        </w:numPr>
        <w:rPr>
          <w:rFonts w:eastAsia="宋体"/>
          <w:b/>
          <w:szCs w:val="21"/>
        </w:rPr>
      </w:pPr>
      <w:r>
        <w:rPr>
          <w:rFonts w:hint="eastAsia" w:eastAsia="宋体"/>
          <w:b/>
          <w:szCs w:val="21"/>
        </w:rPr>
        <w:t>Alt. 2 (RAN3 based solution): leave this issue to RAN3 and send one LS to inform RAN3 about this.</w:t>
      </w:r>
    </w:p>
    <w:p>
      <w:r>
        <w:rPr>
          <w:rFonts w:hint="eastAsia"/>
          <w:b/>
          <w:szCs w:val="21"/>
        </w:rPr>
        <w:t>Proposal 3: RAN2 to clarify whether to support target CPC configuration in legacy HO command or target CPC configuration in target CPC command in the Rel-16.</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5"/>
        </w:numPr>
        <w:rPr>
          <w:lang w:val="en-GB"/>
        </w:rPr>
      </w:pPr>
      <w:r>
        <w:rPr>
          <w:rFonts w:hint="eastAsia"/>
        </w:rPr>
        <w:t>R2-2001536</w:t>
      </w:r>
      <w:r>
        <w:rPr>
          <w:rFonts w:hint="eastAsia"/>
        </w:rPr>
        <w:tab/>
      </w:r>
      <w:r>
        <w:rPr>
          <w:rFonts w:hint="eastAsia"/>
        </w:rPr>
        <w:t>Transaction ID Issue in CPC</w:t>
      </w:r>
      <w:r>
        <w:rPr>
          <w:rFonts w:hint="eastAsia"/>
        </w:rPr>
        <w:tab/>
      </w:r>
      <w:r>
        <w:rPr>
          <w:rFonts w:hint="eastAsia"/>
        </w:rPr>
        <w:t>LG Electronics Inc.</w:t>
      </w:r>
    </w:p>
    <w:p>
      <w:pPr>
        <w:numPr>
          <w:ilvl w:val="0"/>
          <w:numId w:val="5"/>
        </w:numPr>
        <w:rPr>
          <w:lang w:val="en-GB"/>
        </w:rPr>
      </w:pPr>
      <w:r>
        <w:rPr>
          <w:rFonts w:hint="eastAsia"/>
          <w:lang w:val="en-GB"/>
        </w:rPr>
        <w:t>R2-200</w:t>
      </w:r>
      <w:r>
        <w:rPr>
          <w:lang w:val="en-GB"/>
        </w:rPr>
        <w:t>3424</w:t>
      </w:r>
      <w:r>
        <w:rPr>
          <w:rFonts w:hint="eastAsia"/>
          <w:lang w:val="en-GB"/>
        </w:rPr>
        <w:tab/>
      </w:r>
      <w:r>
        <w:t>[Z255] Correction for</w:t>
      </w:r>
      <w:r>
        <w:rPr>
          <w:rFonts w:hint="eastAsia"/>
          <w:lang w:val="en-GB"/>
        </w:rPr>
        <w:t xml:space="preserve"> PCell change in case of CPC</w:t>
      </w:r>
      <w:r>
        <w:rPr>
          <w:rFonts w:hint="eastAsia"/>
        </w:rPr>
        <w:tab/>
      </w:r>
      <w:r>
        <w:rPr>
          <w:rFonts w:hint="eastAsia"/>
        </w:rPr>
        <w:t>ZTE Corporation, Sanechips</w:t>
      </w:r>
    </w:p>
    <w:p>
      <w:pPr>
        <w:rPr>
          <w:lang w:val="en-GB"/>
        </w:rPr>
      </w:pP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Batang">
    <w:panose1 w:val="02030600000101010101"/>
    <w:charset w:val="81"/>
    <w:family w:val="auto"/>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Courier New">
    <w:panose1 w:val="02070309020205020404"/>
    <w:charset w:val="00"/>
    <w:family w:val="modern"/>
    <w:pitch w:val="default"/>
    <w:sig w:usb0="E0002AFF" w:usb1="C0007843" w:usb2="00000009" w:usb3="00000000" w:csb0="400001FF" w:csb1="FFFF0000"/>
  </w:font>
  <w:font w:name="STFangsong">
    <w:altName w:val="宋体"/>
    <w:panose1 w:val="00000000000000000000"/>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8"/>
      </w:rPr>
    </w:pPr>
    <w:r>
      <w:rPr>
        <w:rStyle w:val="58"/>
      </w:rPr>
      <w:fldChar w:fldCharType="begin"/>
    </w:r>
    <w:r>
      <w:rPr>
        <w:rStyle w:val="58"/>
      </w:rPr>
      <w:instrText xml:space="preserve">PAGE  </w:instrText>
    </w:r>
    <w:r>
      <w:rPr>
        <w:rStyle w:val="58"/>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STFangsong"/>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3D3D26"/>
    <w:multiLevelType w:val="singleLevel"/>
    <w:tmpl w:val="AB3D3D26"/>
    <w:lvl w:ilvl="0" w:tentative="0">
      <w:start w:val="1"/>
      <w:numFmt w:val="decimal"/>
      <w:suff w:val="space"/>
      <w:lvlText w:val="[%1]."/>
      <w:lvlJc w:val="left"/>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93F06EA"/>
    <w:multiLevelType w:val="singleLevel"/>
    <w:tmpl w:val="593F06EA"/>
    <w:lvl w:ilvl="0" w:tentative="0">
      <w:start w:val="1"/>
      <w:numFmt w:val="bullet"/>
      <w:lvlText w:val=""/>
      <w:lvlJc w:val="left"/>
      <w:pPr>
        <w:ind w:left="420" w:hanging="420"/>
      </w:pPr>
      <w:rPr>
        <w:rFonts w:hint="default" w:ascii="Wingdings" w:hAnsi="Wingdings"/>
      </w:r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70"/>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66B2"/>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1A45"/>
    <w:rsid w:val="000E3B8A"/>
    <w:rsid w:val="000F0A7B"/>
    <w:rsid w:val="00100030"/>
    <w:rsid w:val="00102148"/>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85CA1"/>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5B8"/>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4A3C"/>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C81"/>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1E0E"/>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9E7"/>
    <w:rsid w:val="00FE2161"/>
    <w:rsid w:val="00FE58B6"/>
    <w:rsid w:val="00FE7430"/>
    <w:rsid w:val="00FF0471"/>
    <w:rsid w:val="00FF0AAD"/>
    <w:rsid w:val="00FF29CE"/>
    <w:rsid w:val="00FF2E7C"/>
    <w:rsid w:val="00FF2EAF"/>
    <w:rsid w:val="00FF33F4"/>
    <w:rsid w:val="01131166"/>
    <w:rsid w:val="016210DF"/>
    <w:rsid w:val="0165600B"/>
    <w:rsid w:val="016E3B27"/>
    <w:rsid w:val="01767489"/>
    <w:rsid w:val="0185508D"/>
    <w:rsid w:val="01910DD3"/>
    <w:rsid w:val="01920B2D"/>
    <w:rsid w:val="01943782"/>
    <w:rsid w:val="01977F6A"/>
    <w:rsid w:val="01A46D0E"/>
    <w:rsid w:val="01A5265A"/>
    <w:rsid w:val="01AC40BD"/>
    <w:rsid w:val="01AE3B73"/>
    <w:rsid w:val="01AF7A72"/>
    <w:rsid w:val="01B13560"/>
    <w:rsid w:val="01BE26E7"/>
    <w:rsid w:val="01C05D49"/>
    <w:rsid w:val="01C66A3F"/>
    <w:rsid w:val="01EE78D1"/>
    <w:rsid w:val="02017286"/>
    <w:rsid w:val="02115596"/>
    <w:rsid w:val="0212463B"/>
    <w:rsid w:val="02142423"/>
    <w:rsid w:val="02145888"/>
    <w:rsid w:val="021627D8"/>
    <w:rsid w:val="022D295E"/>
    <w:rsid w:val="024412BB"/>
    <w:rsid w:val="02490685"/>
    <w:rsid w:val="024A4AC8"/>
    <w:rsid w:val="024B320F"/>
    <w:rsid w:val="02657A19"/>
    <w:rsid w:val="02664651"/>
    <w:rsid w:val="02737CFE"/>
    <w:rsid w:val="02825D7D"/>
    <w:rsid w:val="028A67A0"/>
    <w:rsid w:val="028B3E82"/>
    <w:rsid w:val="0293518F"/>
    <w:rsid w:val="0297259A"/>
    <w:rsid w:val="029C0A9A"/>
    <w:rsid w:val="02A2536A"/>
    <w:rsid w:val="02A7793D"/>
    <w:rsid w:val="02BA02BA"/>
    <w:rsid w:val="02C62E55"/>
    <w:rsid w:val="02E712F2"/>
    <w:rsid w:val="02E968F1"/>
    <w:rsid w:val="03130048"/>
    <w:rsid w:val="03202434"/>
    <w:rsid w:val="03204437"/>
    <w:rsid w:val="033E499A"/>
    <w:rsid w:val="0347521D"/>
    <w:rsid w:val="035A5498"/>
    <w:rsid w:val="035B5483"/>
    <w:rsid w:val="036C3B3B"/>
    <w:rsid w:val="037175E3"/>
    <w:rsid w:val="03857386"/>
    <w:rsid w:val="03892EFE"/>
    <w:rsid w:val="039A2405"/>
    <w:rsid w:val="039A4F82"/>
    <w:rsid w:val="039A7700"/>
    <w:rsid w:val="03BD31AF"/>
    <w:rsid w:val="03BE00C0"/>
    <w:rsid w:val="03D52450"/>
    <w:rsid w:val="03D63228"/>
    <w:rsid w:val="03E65927"/>
    <w:rsid w:val="03E9137F"/>
    <w:rsid w:val="03EB5E4F"/>
    <w:rsid w:val="03EC1D7B"/>
    <w:rsid w:val="03F148CD"/>
    <w:rsid w:val="03F334EB"/>
    <w:rsid w:val="03FE0DFE"/>
    <w:rsid w:val="04067142"/>
    <w:rsid w:val="040D6866"/>
    <w:rsid w:val="041C2081"/>
    <w:rsid w:val="042320E4"/>
    <w:rsid w:val="043E7F06"/>
    <w:rsid w:val="044469A4"/>
    <w:rsid w:val="04456CA0"/>
    <w:rsid w:val="0451320B"/>
    <w:rsid w:val="045763FA"/>
    <w:rsid w:val="046F1C6A"/>
    <w:rsid w:val="047034F5"/>
    <w:rsid w:val="04754B65"/>
    <w:rsid w:val="04861082"/>
    <w:rsid w:val="048A123B"/>
    <w:rsid w:val="048C5BD9"/>
    <w:rsid w:val="04996B65"/>
    <w:rsid w:val="04EB5671"/>
    <w:rsid w:val="04ED36E0"/>
    <w:rsid w:val="04FB5FD2"/>
    <w:rsid w:val="050C31AF"/>
    <w:rsid w:val="05174168"/>
    <w:rsid w:val="051E36E6"/>
    <w:rsid w:val="053166CA"/>
    <w:rsid w:val="05332C41"/>
    <w:rsid w:val="054C7D3F"/>
    <w:rsid w:val="054D4214"/>
    <w:rsid w:val="05526E77"/>
    <w:rsid w:val="056D39BD"/>
    <w:rsid w:val="058267E3"/>
    <w:rsid w:val="058442CB"/>
    <w:rsid w:val="05961927"/>
    <w:rsid w:val="05B21BDC"/>
    <w:rsid w:val="05D1713F"/>
    <w:rsid w:val="05D92123"/>
    <w:rsid w:val="05E024B6"/>
    <w:rsid w:val="05F13BE9"/>
    <w:rsid w:val="05F178AC"/>
    <w:rsid w:val="06017A73"/>
    <w:rsid w:val="06022874"/>
    <w:rsid w:val="060A555D"/>
    <w:rsid w:val="06136726"/>
    <w:rsid w:val="06293C52"/>
    <w:rsid w:val="063F71ED"/>
    <w:rsid w:val="06406186"/>
    <w:rsid w:val="06577E85"/>
    <w:rsid w:val="0665683F"/>
    <w:rsid w:val="066F0DC7"/>
    <w:rsid w:val="067851DF"/>
    <w:rsid w:val="067F0396"/>
    <w:rsid w:val="069621D1"/>
    <w:rsid w:val="069E5DC0"/>
    <w:rsid w:val="069F3235"/>
    <w:rsid w:val="06AF5E97"/>
    <w:rsid w:val="06BB3C62"/>
    <w:rsid w:val="06CC4C2E"/>
    <w:rsid w:val="06CE3E32"/>
    <w:rsid w:val="06D97CA7"/>
    <w:rsid w:val="06DA5822"/>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8158EA"/>
    <w:rsid w:val="07843668"/>
    <w:rsid w:val="07847AEC"/>
    <w:rsid w:val="079368A6"/>
    <w:rsid w:val="07A575C7"/>
    <w:rsid w:val="07AA6390"/>
    <w:rsid w:val="07B47F2F"/>
    <w:rsid w:val="07BE2890"/>
    <w:rsid w:val="07C4242C"/>
    <w:rsid w:val="07C84D70"/>
    <w:rsid w:val="07E121C2"/>
    <w:rsid w:val="07E62C3B"/>
    <w:rsid w:val="07EC790A"/>
    <w:rsid w:val="07F50292"/>
    <w:rsid w:val="07FE63E8"/>
    <w:rsid w:val="083D222A"/>
    <w:rsid w:val="083E7D1C"/>
    <w:rsid w:val="083F69AD"/>
    <w:rsid w:val="08555405"/>
    <w:rsid w:val="08561FA2"/>
    <w:rsid w:val="08590F51"/>
    <w:rsid w:val="086334CF"/>
    <w:rsid w:val="08690BF0"/>
    <w:rsid w:val="0877760D"/>
    <w:rsid w:val="08787E39"/>
    <w:rsid w:val="087F387F"/>
    <w:rsid w:val="08896E68"/>
    <w:rsid w:val="089E1AEE"/>
    <w:rsid w:val="08A1177C"/>
    <w:rsid w:val="08A310E0"/>
    <w:rsid w:val="08B02DDD"/>
    <w:rsid w:val="08BB6EAC"/>
    <w:rsid w:val="08CA2035"/>
    <w:rsid w:val="08E33A5D"/>
    <w:rsid w:val="08EA1C68"/>
    <w:rsid w:val="08F22BC2"/>
    <w:rsid w:val="08F54145"/>
    <w:rsid w:val="08FC7AC7"/>
    <w:rsid w:val="08FE5C78"/>
    <w:rsid w:val="09021076"/>
    <w:rsid w:val="09065647"/>
    <w:rsid w:val="090968DC"/>
    <w:rsid w:val="0915066C"/>
    <w:rsid w:val="092464BF"/>
    <w:rsid w:val="09330B6E"/>
    <w:rsid w:val="09392AF8"/>
    <w:rsid w:val="093E5899"/>
    <w:rsid w:val="094311F4"/>
    <w:rsid w:val="094F257F"/>
    <w:rsid w:val="096D227C"/>
    <w:rsid w:val="09712D2D"/>
    <w:rsid w:val="0980678C"/>
    <w:rsid w:val="098246C4"/>
    <w:rsid w:val="09A955D3"/>
    <w:rsid w:val="09B81315"/>
    <w:rsid w:val="09C068A5"/>
    <w:rsid w:val="09C1228B"/>
    <w:rsid w:val="09CA0AC6"/>
    <w:rsid w:val="09D50EC2"/>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C2E75"/>
    <w:rsid w:val="0A6277D4"/>
    <w:rsid w:val="0A6614C9"/>
    <w:rsid w:val="0A664AD3"/>
    <w:rsid w:val="0A7232D3"/>
    <w:rsid w:val="0A97216E"/>
    <w:rsid w:val="0A9C11D4"/>
    <w:rsid w:val="0AA5549A"/>
    <w:rsid w:val="0AAE3C34"/>
    <w:rsid w:val="0AB57D41"/>
    <w:rsid w:val="0AB74037"/>
    <w:rsid w:val="0ABB64D4"/>
    <w:rsid w:val="0ABF5314"/>
    <w:rsid w:val="0AF957A7"/>
    <w:rsid w:val="0AFB4824"/>
    <w:rsid w:val="0B104C80"/>
    <w:rsid w:val="0B1537E9"/>
    <w:rsid w:val="0B1B0258"/>
    <w:rsid w:val="0B2F5449"/>
    <w:rsid w:val="0B3A6177"/>
    <w:rsid w:val="0B542366"/>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4523A"/>
    <w:rsid w:val="0C022CD6"/>
    <w:rsid w:val="0C0F2FEF"/>
    <w:rsid w:val="0C115C01"/>
    <w:rsid w:val="0C21687B"/>
    <w:rsid w:val="0C221921"/>
    <w:rsid w:val="0C2B7B6C"/>
    <w:rsid w:val="0C35257F"/>
    <w:rsid w:val="0C4E0C6C"/>
    <w:rsid w:val="0C5C4277"/>
    <w:rsid w:val="0C70637B"/>
    <w:rsid w:val="0C710975"/>
    <w:rsid w:val="0C7A6655"/>
    <w:rsid w:val="0C7D69BF"/>
    <w:rsid w:val="0CB47222"/>
    <w:rsid w:val="0CB5613D"/>
    <w:rsid w:val="0CCA31B6"/>
    <w:rsid w:val="0CCE60AE"/>
    <w:rsid w:val="0CE2368A"/>
    <w:rsid w:val="0CE55396"/>
    <w:rsid w:val="0CF31DF7"/>
    <w:rsid w:val="0CF40AF8"/>
    <w:rsid w:val="0D2C3BFA"/>
    <w:rsid w:val="0D4618D1"/>
    <w:rsid w:val="0D470E01"/>
    <w:rsid w:val="0D5412D9"/>
    <w:rsid w:val="0D563E1D"/>
    <w:rsid w:val="0D5D28E6"/>
    <w:rsid w:val="0D651FC1"/>
    <w:rsid w:val="0D6D666D"/>
    <w:rsid w:val="0D6E7297"/>
    <w:rsid w:val="0D7545AF"/>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7108C"/>
    <w:rsid w:val="0E4D26CC"/>
    <w:rsid w:val="0E560EFD"/>
    <w:rsid w:val="0E6A01E6"/>
    <w:rsid w:val="0E8C09CF"/>
    <w:rsid w:val="0E8D03D6"/>
    <w:rsid w:val="0E930DC4"/>
    <w:rsid w:val="0EA41BE0"/>
    <w:rsid w:val="0EAD2320"/>
    <w:rsid w:val="0EC509E4"/>
    <w:rsid w:val="0ECC22F2"/>
    <w:rsid w:val="0ED4677A"/>
    <w:rsid w:val="0ED64E1A"/>
    <w:rsid w:val="0EDC06F9"/>
    <w:rsid w:val="0EE1071D"/>
    <w:rsid w:val="0EF05D44"/>
    <w:rsid w:val="0EFD6649"/>
    <w:rsid w:val="0EFF4DCA"/>
    <w:rsid w:val="0F0869CE"/>
    <w:rsid w:val="0F0F0B31"/>
    <w:rsid w:val="0F1028FC"/>
    <w:rsid w:val="0F13714E"/>
    <w:rsid w:val="0F1B123C"/>
    <w:rsid w:val="0F217358"/>
    <w:rsid w:val="0F2532AC"/>
    <w:rsid w:val="0F2D7AB0"/>
    <w:rsid w:val="0F3D7225"/>
    <w:rsid w:val="0F424B0D"/>
    <w:rsid w:val="0F4501A0"/>
    <w:rsid w:val="0F4A1CDE"/>
    <w:rsid w:val="0F4A7E65"/>
    <w:rsid w:val="0F557405"/>
    <w:rsid w:val="0F5626C1"/>
    <w:rsid w:val="0F63349B"/>
    <w:rsid w:val="0F634273"/>
    <w:rsid w:val="0F790B07"/>
    <w:rsid w:val="0F7F7301"/>
    <w:rsid w:val="0F847A92"/>
    <w:rsid w:val="0F99304D"/>
    <w:rsid w:val="0F9D3AE8"/>
    <w:rsid w:val="0FB52E3F"/>
    <w:rsid w:val="0FBF7F6A"/>
    <w:rsid w:val="0FCC249F"/>
    <w:rsid w:val="0FD97329"/>
    <w:rsid w:val="0FDD3ABD"/>
    <w:rsid w:val="0FDD41C9"/>
    <w:rsid w:val="0FDE34CC"/>
    <w:rsid w:val="0FFC2B88"/>
    <w:rsid w:val="0FFD42FF"/>
    <w:rsid w:val="10144ACE"/>
    <w:rsid w:val="1019048E"/>
    <w:rsid w:val="10192E34"/>
    <w:rsid w:val="10220ACB"/>
    <w:rsid w:val="10324C94"/>
    <w:rsid w:val="103E1201"/>
    <w:rsid w:val="104177FA"/>
    <w:rsid w:val="105553B4"/>
    <w:rsid w:val="105F2701"/>
    <w:rsid w:val="105F3355"/>
    <w:rsid w:val="10633DE5"/>
    <w:rsid w:val="106C51AC"/>
    <w:rsid w:val="1085601B"/>
    <w:rsid w:val="10870262"/>
    <w:rsid w:val="10993A5B"/>
    <w:rsid w:val="109C7E53"/>
    <w:rsid w:val="109D01C9"/>
    <w:rsid w:val="109E5C77"/>
    <w:rsid w:val="10A15BAF"/>
    <w:rsid w:val="10A54549"/>
    <w:rsid w:val="10AD1F54"/>
    <w:rsid w:val="10B20497"/>
    <w:rsid w:val="10B2230B"/>
    <w:rsid w:val="10BA6965"/>
    <w:rsid w:val="10D80BBB"/>
    <w:rsid w:val="10DC7FF8"/>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81311E"/>
    <w:rsid w:val="129137BD"/>
    <w:rsid w:val="129E5216"/>
    <w:rsid w:val="12AB4AA1"/>
    <w:rsid w:val="12D86D99"/>
    <w:rsid w:val="12EF1DC3"/>
    <w:rsid w:val="12EF741A"/>
    <w:rsid w:val="12F254D0"/>
    <w:rsid w:val="12F3239A"/>
    <w:rsid w:val="12FE42D6"/>
    <w:rsid w:val="130A5E23"/>
    <w:rsid w:val="131C3CE3"/>
    <w:rsid w:val="131D5C4A"/>
    <w:rsid w:val="132A76BE"/>
    <w:rsid w:val="13353240"/>
    <w:rsid w:val="13611100"/>
    <w:rsid w:val="136345D4"/>
    <w:rsid w:val="1365208E"/>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60F2C35"/>
    <w:rsid w:val="16203964"/>
    <w:rsid w:val="16314D23"/>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D2C84"/>
    <w:rsid w:val="178D7F71"/>
    <w:rsid w:val="179E7495"/>
    <w:rsid w:val="17A026E1"/>
    <w:rsid w:val="17AB2B97"/>
    <w:rsid w:val="17C66C3A"/>
    <w:rsid w:val="17CE580D"/>
    <w:rsid w:val="17D83819"/>
    <w:rsid w:val="17F60521"/>
    <w:rsid w:val="17FF4999"/>
    <w:rsid w:val="180C023B"/>
    <w:rsid w:val="18170776"/>
    <w:rsid w:val="18226EE6"/>
    <w:rsid w:val="182B4F94"/>
    <w:rsid w:val="18366840"/>
    <w:rsid w:val="18474F16"/>
    <w:rsid w:val="18535C42"/>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B7D0E"/>
    <w:rsid w:val="1A4F26CC"/>
    <w:rsid w:val="1A552131"/>
    <w:rsid w:val="1A573AB7"/>
    <w:rsid w:val="1A7702EA"/>
    <w:rsid w:val="1A7C32FF"/>
    <w:rsid w:val="1A7C3F77"/>
    <w:rsid w:val="1A80010B"/>
    <w:rsid w:val="1A91794A"/>
    <w:rsid w:val="1A9E713F"/>
    <w:rsid w:val="1AA1145C"/>
    <w:rsid w:val="1AAD30FA"/>
    <w:rsid w:val="1AAE16C4"/>
    <w:rsid w:val="1AB13940"/>
    <w:rsid w:val="1ABA705B"/>
    <w:rsid w:val="1AC97242"/>
    <w:rsid w:val="1ACC76E0"/>
    <w:rsid w:val="1ACF27B9"/>
    <w:rsid w:val="1AD27A8D"/>
    <w:rsid w:val="1AD41D2D"/>
    <w:rsid w:val="1AD7515E"/>
    <w:rsid w:val="1AD8130A"/>
    <w:rsid w:val="1AE93C9B"/>
    <w:rsid w:val="1AF21DA7"/>
    <w:rsid w:val="1B2542E6"/>
    <w:rsid w:val="1B2929AB"/>
    <w:rsid w:val="1B47772F"/>
    <w:rsid w:val="1B50538E"/>
    <w:rsid w:val="1B5322E9"/>
    <w:rsid w:val="1B607248"/>
    <w:rsid w:val="1B612AFA"/>
    <w:rsid w:val="1B693EA3"/>
    <w:rsid w:val="1B6B1131"/>
    <w:rsid w:val="1B6C25E8"/>
    <w:rsid w:val="1B741476"/>
    <w:rsid w:val="1B793426"/>
    <w:rsid w:val="1B801536"/>
    <w:rsid w:val="1B8260BC"/>
    <w:rsid w:val="1B8A2061"/>
    <w:rsid w:val="1BAA2BCF"/>
    <w:rsid w:val="1BD925D2"/>
    <w:rsid w:val="1BFA0C60"/>
    <w:rsid w:val="1C076C7C"/>
    <w:rsid w:val="1C161A83"/>
    <w:rsid w:val="1C1C4D13"/>
    <w:rsid w:val="1C296C3D"/>
    <w:rsid w:val="1C3A709B"/>
    <w:rsid w:val="1C512779"/>
    <w:rsid w:val="1C5B2253"/>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A7433"/>
    <w:rsid w:val="1CCE78A2"/>
    <w:rsid w:val="1CD75D57"/>
    <w:rsid w:val="1CDC087A"/>
    <w:rsid w:val="1CFB474C"/>
    <w:rsid w:val="1D052D81"/>
    <w:rsid w:val="1D110690"/>
    <w:rsid w:val="1D111ED4"/>
    <w:rsid w:val="1D1E5C67"/>
    <w:rsid w:val="1D2C43C8"/>
    <w:rsid w:val="1D335855"/>
    <w:rsid w:val="1D3507AD"/>
    <w:rsid w:val="1D3F4F0A"/>
    <w:rsid w:val="1D6747F5"/>
    <w:rsid w:val="1D702483"/>
    <w:rsid w:val="1D7B7BDF"/>
    <w:rsid w:val="1D7C0AC5"/>
    <w:rsid w:val="1D812F92"/>
    <w:rsid w:val="1D850034"/>
    <w:rsid w:val="1D8B6EC0"/>
    <w:rsid w:val="1DA70EBB"/>
    <w:rsid w:val="1DAF2B60"/>
    <w:rsid w:val="1DAF4844"/>
    <w:rsid w:val="1DB15797"/>
    <w:rsid w:val="1DC43BC4"/>
    <w:rsid w:val="1DCC34E5"/>
    <w:rsid w:val="1DCF2EDB"/>
    <w:rsid w:val="1DDE47B5"/>
    <w:rsid w:val="1DFD5D66"/>
    <w:rsid w:val="1E1C0F23"/>
    <w:rsid w:val="1E1D3350"/>
    <w:rsid w:val="1E2D3856"/>
    <w:rsid w:val="1E2E6394"/>
    <w:rsid w:val="1E4C7C99"/>
    <w:rsid w:val="1E6E29BC"/>
    <w:rsid w:val="1E721FE6"/>
    <w:rsid w:val="1E842EE0"/>
    <w:rsid w:val="1EA5131C"/>
    <w:rsid w:val="1EAC0652"/>
    <w:rsid w:val="1EC012AB"/>
    <w:rsid w:val="1EC33879"/>
    <w:rsid w:val="1EC97015"/>
    <w:rsid w:val="1ED25FFE"/>
    <w:rsid w:val="1EDD24BC"/>
    <w:rsid w:val="1EE16ED9"/>
    <w:rsid w:val="1EEA0C85"/>
    <w:rsid w:val="1F1E5DB2"/>
    <w:rsid w:val="1F293665"/>
    <w:rsid w:val="1F2D7AB7"/>
    <w:rsid w:val="1F3C203A"/>
    <w:rsid w:val="1F4154A3"/>
    <w:rsid w:val="1F495793"/>
    <w:rsid w:val="1F4F31D2"/>
    <w:rsid w:val="1F8B4035"/>
    <w:rsid w:val="1F8E5C30"/>
    <w:rsid w:val="1F8F3B44"/>
    <w:rsid w:val="1FA042BC"/>
    <w:rsid w:val="1FAD75BF"/>
    <w:rsid w:val="1FB87C4A"/>
    <w:rsid w:val="1FDE1119"/>
    <w:rsid w:val="1FDE5CF0"/>
    <w:rsid w:val="1FF63782"/>
    <w:rsid w:val="20055D8E"/>
    <w:rsid w:val="2010595F"/>
    <w:rsid w:val="20444A13"/>
    <w:rsid w:val="204A3E68"/>
    <w:rsid w:val="204E2B4B"/>
    <w:rsid w:val="204F627F"/>
    <w:rsid w:val="20577738"/>
    <w:rsid w:val="205B6F25"/>
    <w:rsid w:val="206E2E6F"/>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236E7B"/>
    <w:rsid w:val="212D6E70"/>
    <w:rsid w:val="21325170"/>
    <w:rsid w:val="213C4E2F"/>
    <w:rsid w:val="213D0E8C"/>
    <w:rsid w:val="2140662B"/>
    <w:rsid w:val="214C3CD5"/>
    <w:rsid w:val="215A2AFE"/>
    <w:rsid w:val="215F458F"/>
    <w:rsid w:val="21711085"/>
    <w:rsid w:val="217228C9"/>
    <w:rsid w:val="218E0201"/>
    <w:rsid w:val="21926F6C"/>
    <w:rsid w:val="21936236"/>
    <w:rsid w:val="21A71340"/>
    <w:rsid w:val="21AE7BDE"/>
    <w:rsid w:val="21B13AA1"/>
    <w:rsid w:val="21B24080"/>
    <w:rsid w:val="21BF67E6"/>
    <w:rsid w:val="21C051BE"/>
    <w:rsid w:val="21C268DE"/>
    <w:rsid w:val="21D061B3"/>
    <w:rsid w:val="21D24CF4"/>
    <w:rsid w:val="21DE47CF"/>
    <w:rsid w:val="21FA7C76"/>
    <w:rsid w:val="21FB378E"/>
    <w:rsid w:val="22086DD5"/>
    <w:rsid w:val="220D602F"/>
    <w:rsid w:val="221122B7"/>
    <w:rsid w:val="221335D5"/>
    <w:rsid w:val="221803B8"/>
    <w:rsid w:val="223F2906"/>
    <w:rsid w:val="22460F19"/>
    <w:rsid w:val="226F2366"/>
    <w:rsid w:val="227167CA"/>
    <w:rsid w:val="22727FD0"/>
    <w:rsid w:val="22805B8B"/>
    <w:rsid w:val="228135D1"/>
    <w:rsid w:val="2281465F"/>
    <w:rsid w:val="22A13519"/>
    <w:rsid w:val="22B23E9D"/>
    <w:rsid w:val="22C54E5E"/>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6256"/>
    <w:rsid w:val="23691369"/>
    <w:rsid w:val="236E3562"/>
    <w:rsid w:val="23722CB0"/>
    <w:rsid w:val="238C2CA1"/>
    <w:rsid w:val="238F69CD"/>
    <w:rsid w:val="2397196E"/>
    <w:rsid w:val="239A4B5F"/>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A673B"/>
    <w:rsid w:val="245D7497"/>
    <w:rsid w:val="24601C34"/>
    <w:rsid w:val="2473264B"/>
    <w:rsid w:val="24915BAB"/>
    <w:rsid w:val="24992C3F"/>
    <w:rsid w:val="249E445B"/>
    <w:rsid w:val="249F57D9"/>
    <w:rsid w:val="24CE18C8"/>
    <w:rsid w:val="24DB7584"/>
    <w:rsid w:val="24DC690A"/>
    <w:rsid w:val="24DF68C8"/>
    <w:rsid w:val="24E113F5"/>
    <w:rsid w:val="24E70DDF"/>
    <w:rsid w:val="25005C72"/>
    <w:rsid w:val="25072CB6"/>
    <w:rsid w:val="250F3ABA"/>
    <w:rsid w:val="25150E4A"/>
    <w:rsid w:val="252F2220"/>
    <w:rsid w:val="254816C3"/>
    <w:rsid w:val="254A0730"/>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71F78"/>
    <w:rsid w:val="25EA75FB"/>
    <w:rsid w:val="25EB1A7A"/>
    <w:rsid w:val="26033C6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7056BF"/>
    <w:rsid w:val="2682002D"/>
    <w:rsid w:val="268426E2"/>
    <w:rsid w:val="26871BB0"/>
    <w:rsid w:val="268D61F7"/>
    <w:rsid w:val="26915CA2"/>
    <w:rsid w:val="26BF485A"/>
    <w:rsid w:val="26E32255"/>
    <w:rsid w:val="26EA75CE"/>
    <w:rsid w:val="26EC6E10"/>
    <w:rsid w:val="26EF32CA"/>
    <w:rsid w:val="26F37CBE"/>
    <w:rsid w:val="26F954F1"/>
    <w:rsid w:val="27107BF5"/>
    <w:rsid w:val="27326E8F"/>
    <w:rsid w:val="2735468D"/>
    <w:rsid w:val="274A6662"/>
    <w:rsid w:val="27570A55"/>
    <w:rsid w:val="275C2CB3"/>
    <w:rsid w:val="276A0443"/>
    <w:rsid w:val="276C1027"/>
    <w:rsid w:val="27746913"/>
    <w:rsid w:val="2775446F"/>
    <w:rsid w:val="278B2D28"/>
    <w:rsid w:val="27947308"/>
    <w:rsid w:val="2796033D"/>
    <w:rsid w:val="27B60AFD"/>
    <w:rsid w:val="27B914E9"/>
    <w:rsid w:val="27C435E3"/>
    <w:rsid w:val="27CD2E52"/>
    <w:rsid w:val="27D47C66"/>
    <w:rsid w:val="27E951EF"/>
    <w:rsid w:val="27EF2A5E"/>
    <w:rsid w:val="27F2325D"/>
    <w:rsid w:val="27F97D3B"/>
    <w:rsid w:val="28014AB4"/>
    <w:rsid w:val="28043BB2"/>
    <w:rsid w:val="28065FAE"/>
    <w:rsid w:val="280B5681"/>
    <w:rsid w:val="280D46CF"/>
    <w:rsid w:val="28246110"/>
    <w:rsid w:val="28285D3D"/>
    <w:rsid w:val="282865B0"/>
    <w:rsid w:val="28377CB6"/>
    <w:rsid w:val="284566E9"/>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B361A"/>
    <w:rsid w:val="2925011C"/>
    <w:rsid w:val="29291D27"/>
    <w:rsid w:val="29334E58"/>
    <w:rsid w:val="29342C80"/>
    <w:rsid w:val="293F4FBE"/>
    <w:rsid w:val="294D1445"/>
    <w:rsid w:val="296D72E7"/>
    <w:rsid w:val="297C4F1B"/>
    <w:rsid w:val="29841FF1"/>
    <w:rsid w:val="299159E7"/>
    <w:rsid w:val="29BD1A42"/>
    <w:rsid w:val="29C562CC"/>
    <w:rsid w:val="29C90D98"/>
    <w:rsid w:val="29E522F6"/>
    <w:rsid w:val="29F50DAE"/>
    <w:rsid w:val="29F8715D"/>
    <w:rsid w:val="2A030B0B"/>
    <w:rsid w:val="2A0857F5"/>
    <w:rsid w:val="2A0C1ECE"/>
    <w:rsid w:val="2A0D2B92"/>
    <w:rsid w:val="2A32766A"/>
    <w:rsid w:val="2A363620"/>
    <w:rsid w:val="2A4006A0"/>
    <w:rsid w:val="2A404777"/>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7B0C"/>
    <w:rsid w:val="2AA16B48"/>
    <w:rsid w:val="2AA71A15"/>
    <w:rsid w:val="2AAB20D4"/>
    <w:rsid w:val="2AB072BA"/>
    <w:rsid w:val="2ABC14DB"/>
    <w:rsid w:val="2ABE3874"/>
    <w:rsid w:val="2AD56F26"/>
    <w:rsid w:val="2AF5473E"/>
    <w:rsid w:val="2AFE3B79"/>
    <w:rsid w:val="2B03259E"/>
    <w:rsid w:val="2B034049"/>
    <w:rsid w:val="2B056B48"/>
    <w:rsid w:val="2B155F4A"/>
    <w:rsid w:val="2B181DBF"/>
    <w:rsid w:val="2B242CD3"/>
    <w:rsid w:val="2B2A271C"/>
    <w:rsid w:val="2B2C43D0"/>
    <w:rsid w:val="2B325D8C"/>
    <w:rsid w:val="2B3541C6"/>
    <w:rsid w:val="2B397288"/>
    <w:rsid w:val="2B3F3060"/>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232156"/>
    <w:rsid w:val="2C253560"/>
    <w:rsid w:val="2C295909"/>
    <w:rsid w:val="2C334998"/>
    <w:rsid w:val="2C35122A"/>
    <w:rsid w:val="2C364299"/>
    <w:rsid w:val="2C486C9F"/>
    <w:rsid w:val="2C5437C3"/>
    <w:rsid w:val="2C594D81"/>
    <w:rsid w:val="2C5C42D2"/>
    <w:rsid w:val="2C620297"/>
    <w:rsid w:val="2C6E5DD6"/>
    <w:rsid w:val="2C73035A"/>
    <w:rsid w:val="2C7E4A99"/>
    <w:rsid w:val="2C7E5F6C"/>
    <w:rsid w:val="2C831780"/>
    <w:rsid w:val="2C877559"/>
    <w:rsid w:val="2C905BAE"/>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D14E6"/>
    <w:rsid w:val="2D4E4D0B"/>
    <w:rsid w:val="2D5145BB"/>
    <w:rsid w:val="2D7322FD"/>
    <w:rsid w:val="2D7406B9"/>
    <w:rsid w:val="2D8E2EA1"/>
    <w:rsid w:val="2D8F27DB"/>
    <w:rsid w:val="2D927047"/>
    <w:rsid w:val="2D966719"/>
    <w:rsid w:val="2D97240F"/>
    <w:rsid w:val="2D9E7AAD"/>
    <w:rsid w:val="2DB46007"/>
    <w:rsid w:val="2DC92410"/>
    <w:rsid w:val="2DD70417"/>
    <w:rsid w:val="2DDB0F96"/>
    <w:rsid w:val="2DE35418"/>
    <w:rsid w:val="2E0D4E92"/>
    <w:rsid w:val="2E101687"/>
    <w:rsid w:val="2E126562"/>
    <w:rsid w:val="2E1D58DE"/>
    <w:rsid w:val="2E3931A6"/>
    <w:rsid w:val="2E3F01AF"/>
    <w:rsid w:val="2E4D43C9"/>
    <w:rsid w:val="2E5513C9"/>
    <w:rsid w:val="2E575F25"/>
    <w:rsid w:val="2E581950"/>
    <w:rsid w:val="2E5865F6"/>
    <w:rsid w:val="2E664B44"/>
    <w:rsid w:val="2E6700E1"/>
    <w:rsid w:val="2E6E3AC1"/>
    <w:rsid w:val="2E806A22"/>
    <w:rsid w:val="2E8C2695"/>
    <w:rsid w:val="2EA45ECC"/>
    <w:rsid w:val="2EA961CA"/>
    <w:rsid w:val="2EAC7A25"/>
    <w:rsid w:val="2EB11C1F"/>
    <w:rsid w:val="2EDF3CED"/>
    <w:rsid w:val="2EF9378F"/>
    <w:rsid w:val="2F102D49"/>
    <w:rsid w:val="2F1544E7"/>
    <w:rsid w:val="2F223112"/>
    <w:rsid w:val="2F2832E3"/>
    <w:rsid w:val="2F2A028B"/>
    <w:rsid w:val="2F2E4CD3"/>
    <w:rsid w:val="2F3C1119"/>
    <w:rsid w:val="2F3F322C"/>
    <w:rsid w:val="2F4361BA"/>
    <w:rsid w:val="2F4773C1"/>
    <w:rsid w:val="2F570BF8"/>
    <w:rsid w:val="2F644678"/>
    <w:rsid w:val="2F645E81"/>
    <w:rsid w:val="2F6A3BE3"/>
    <w:rsid w:val="2F7D414C"/>
    <w:rsid w:val="2F820752"/>
    <w:rsid w:val="2F8412FC"/>
    <w:rsid w:val="2F843CF0"/>
    <w:rsid w:val="2F8612D3"/>
    <w:rsid w:val="2F8E5104"/>
    <w:rsid w:val="2FA557A7"/>
    <w:rsid w:val="2FBD3859"/>
    <w:rsid w:val="2FC40827"/>
    <w:rsid w:val="2FCC6278"/>
    <w:rsid w:val="2FE73242"/>
    <w:rsid w:val="2FEB512F"/>
    <w:rsid w:val="2FF06294"/>
    <w:rsid w:val="2FF13DD5"/>
    <w:rsid w:val="2FF66C8B"/>
    <w:rsid w:val="2FF9135A"/>
    <w:rsid w:val="30121DB6"/>
    <w:rsid w:val="30194267"/>
    <w:rsid w:val="30265DB3"/>
    <w:rsid w:val="303D2A1B"/>
    <w:rsid w:val="303E2FFE"/>
    <w:rsid w:val="30423C79"/>
    <w:rsid w:val="306205C4"/>
    <w:rsid w:val="30657AE9"/>
    <w:rsid w:val="30856D7B"/>
    <w:rsid w:val="308A183B"/>
    <w:rsid w:val="308E5FDF"/>
    <w:rsid w:val="30926D0D"/>
    <w:rsid w:val="309C6DDB"/>
    <w:rsid w:val="30B31F9C"/>
    <w:rsid w:val="30B456E9"/>
    <w:rsid w:val="30B5287E"/>
    <w:rsid w:val="30BC215E"/>
    <w:rsid w:val="30BE0B68"/>
    <w:rsid w:val="30F25E93"/>
    <w:rsid w:val="30F578C5"/>
    <w:rsid w:val="30F86718"/>
    <w:rsid w:val="31165C0D"/>
    <w:rsid w:val="31182199"/>
    <w:rsid w:val="31302D16"/>
    <w:rsid w:val="31392A46"/>
    <w:rsid w:val="313A0546"/>
    <w:rsid w:val="31470314"/>
    <w:rsid w:val="316244B7"/>
    <w:rsid w:val="316F1595"/>
    <w:rsid w:val="31854918"/>
    <w:rsid w:val="31963578"/>
    <w:rsid w:val="31A32722"/>
    <w:rsid w:val="31A91D45"/>
    <w:rsid w:val="31AC7DF1"/>
    <w:rsid w:val="31AE5339"/>
    <w:rsid w:val="31BA0E10"/>
    <w:rsid w:val="31BB2CDB"/>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94549"/>
    <w:rsid w:val="32545FC5"/>
    <w:rsid w:val="325C2D76"/>
    <w:rsid w:val="326507A6"/>
    <w:rsid w:val="32657B0E"/>
    <w:rsid w:val="326F13CB"/>
    <w:rsid w:val="326F5570"/>
    <w:rsid w:val="328B4355"/>
    <w:rsid w:val="32941EA4"/>
    <w:rsid w:val="32B366CE"/>
    <w:rsid w:val="32BB3603"/>
    <w:rsid w:val="32BE6424"/>
    <w:rsid w:val="32BF74CC"/>
    <w:rsid w:val="32C246E2"/>
    <w:rsid w:val="32C31C14"/>
    <w:rsid w:val="32C753E9"/>
    <w:rsid w:val="32CD393F"/>
    <w:rsid w:val="32CF3752"/>
    <w:rsid w:val="32DD7534"/>
    <w:rsid w:val="32F64C2C"/>
    <w:rsid w:val="33313D66"/>
    <w:rsid w:val="33352864"/>
    <w:rsid w:val="33397206"/>
    <w:rsid w:val="33451D77"/>
    <w:rsid w:val="33516568"/>
    <w:rsid w:val="33530865"/>
    <w:rsid w:val="33547F1F"/>
    <w:rsid w:val="337169E0"/>
    <w:rsid w:val="33796778"/>
    <w:rsid w:val="337F01D0"/>
    <w:rsid w:val="3397431E"/>
    <w:rsid w:val="33AD0C9D"/>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B5BC5"/>
    <w:rsid w:val="3441049C"/>
    <w:rsid w:val="34470C06"/>
    <w:rsid w:val="345D1DC0"/>
    <w:rsid w:val="345E2E34"/>
    <w:rsid w:val="346856A8"/>
    <w:rsid w:val="346B074E"/>
    <w:rsid w:val="34700B52"/>
    <w:rsid w:val="347C5431"/>
    <w:rsid w:val="347E76AC"/>
    <w:rsid w:val="34802039"/>
    <w:rsid w:val="34964B3F"/>
    <w:rsid w:val="34973B73"/>
    <w:rsid w:val="349D3745"/>
    <w:rsid w:val="34B058ED"/>
    <w:rsid w:val="34B2035B"/>
    <w:rsid w:val="34BE7BE9"/>
    <w:rsid w:val="34C861DE"/>
    <w:rsid w:val="34E06A6B"/>
    <w:rsid w:val="34EA0F65"/>
    <w:rsid w:val="34F2011B"/>
    <w:rsid w:val="34F73B82"/>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7206A20"/>
    <w:rsid w:val="372C5FF1"/>
    <w:rsid w:val="372D0DBF"/>
    <w:rsid w:val="372F1B40"/>
    <w:rsid w:val="372F3FF9"/>
    <w:rsid w:val="373129EF"/>
    <w:rsid w:val="373A3D76"/>
    <w:rsid w:val="374B3050"/>
    <w:rsid w:val="3754377B"/>
    <w:rsid w:val="376755B7"/>
    <w:rsid w:val="376D73D3"/>
    <w:rsid w:val="37757E6F"/>
    <w:rsid w:val="377E113A"/>
    <w:rsid w:val="37873DC6"/>
    <w:rsid w:val="378C5DE8"/>
    <w:rsid w:val="379A365A"/>
    <w:rsid w:val="37A81832"/>
    <w:rsid w:val="37AD0E97"/>
    <w:rsid w:val="37B3284E"/>
    <w:rsid w:val="37B93020"/>
    <w:rsid w:val="37C75A14"/>
    <w:rsid w:val="37D51DFC"/>
    <w:rsid w:val="37FD7147"/>
    <w:rsid w:val="380F45AD"/>
    <w:rsid w:val="38365636"/>
    <w:rsid w:val="3838242E"/>
    <w:rsid w:val="3842298F"/>
    <w:rsid w:val="384934A4"/>
    <w:rsid w:val="38562637"/>
    <w:rsid w:val="3858063B"/>
    <w:rsid w:val="385D34C1"/>
    <w:rsid w:val="38630B60"/>
    <w:rsid w:val="386B0ED9"/>
    <w:rsid w:val="387409B9"/>
    <w:rsid w:val="387D29BE"/>
    <w:rsid w:val="38837E13"/>
    <w:rsid w:val="38862BA8"/>
    <w:rsid w:val="388C5F8D"/>
    <w:rsid w:val="38945C70"/>
    <w:rsid w:val="38A05A0D"/>
    <w:rsid w:val="38A968C8"/>
    <w:rsid w:val="38AB19DA"/>
    <w:rsid w:val="38B96453"/>
    <w:rsid w:val="38C37207"/>
    <w:rsid w:val="38D27E22"/>
    <w:rsid w:val="38F05821"/>
    <w:rsid w:val="38F65986"/>
    <w:rsid w:val="39037914"/>
    <w:rsid w:val="390A3D17"/>
    <w:rsid w:val="39193BBB"/>
    <w:rsid w:val="39197EF7"/>
    <w:rsid w:val="39267A2B"/>
    <w:rsid w:val="393B6A45"/>
    <w:rsid w:val="3957061E"/>
    <w:rsid w:val="396A5805"/>
    <w:rsid w:val="397D09C0"/>
    <w:rsid w:val="39882EE2"/>
    <w:rsid w:val="39884C68"/>
    <w:rsid w:val="399476E9"/>
    <w:rsid w:val="39AA29DA"/>
    <w:rsid w:val="39B50F31"/>
    <w:rsid w:val="39C84667"/>
    <w:rsid w:val="39CA73AF"/>
    <w:rsid w:val="39E530A4"/>
    <w:rsid w:val="39FF6602"/>
    <w:rsid w:val="3A033721"/>
    <w:rsid w:val="3A047EE6"/>
    <w:rsid w:val="3A0731EC"/>
    <w:rsid w:val="3A15267E"/>
    <w:rsid w:val="3A18263D"/>
    <w:rsid w:val="3A2549CE"/>
    <w:rsid w:val="3A323E9A"/>
    <w:rsid w:val="3A3302A9"/>
    <w:rsid w:val="3A366876"/>
    <w:rsid w:val="3A3A7E9A"/>
    <w:rsid w:val="3A3E0FBF"/>
    <w:rsid w:val="3A3F3E43"/>
    <w:rsid w:val="3A4379E7"/>
    <w:rsid w:val="3A615F7B"/>
    <w:rsid w:val="3A650A0E"/>
    <w:rsid w:val="3A6662AD"/>
    <w:rsid w:val="3A6C210B"/>
    <w:rsid w:val="3A731164"/>
    <w:rsid w:val="3A7F3816"/>
    <w:rsid w:val="3A8075B8"/>
    <w:rsid w:val="3A845910"/>
    <w:rsid w:val="3A8D5643"/>
    <w:rsid w:val="3A986C86"/>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8A05C9"/>
    <w:rsid w:val="3B8B65A4"/>
    <w:rsid w:val="3B94771D"/>
    <w:rsid w:val="3B9C51AC"/>
    <w:rsid w:val="3BA86F0F"/>
    <w:rsid w:val="3BB26CEE"/>
    <w:rsid w:val="3BBE4E43"/>
    <w:rsid w:val="3BDE71BE"/>
    <w:rsid w:val="3C0829E0"/>
    <w:rsid w:val="3C0B32C7"/>
    <w:rsid w:val="3C0B7D3C"/>
    <w:rsid w:val="3C144C5E"/>
    <w:rsid w:val="3C145C57"/>
    <w:rsid w:val="3C217DAA"/>
    <w:rsid w:val="3C2B5922"/>
    <w:rsid w:val="3C302B64"/>
    <w:rsid w:val="3C351CCD"/>
    <w:rsid w:val="3C3B72F7"/>
    <w:rsid w:val="3C4D5202"/>
    <w:rsid w:val="3C536F45"/>
    <w:rsid w:val="3C5D698E"/>
    <w:rsid w:val="3C6A79D5"/>
    <w:rsid w:val="3C7617CA"/>
    <w:rsid w:val="3C881DE6"/>
    <w:rsid w:val="3C9A3ED3"/>
    <w:rsid w:val="3C9D0189"/>
    <w:rsid w:val="3CA33452"/>
    <w:rsid w:val="3CBB3335"/>
    <w:rsid w:val="3CC21E8B"/>
    <w:rsid w:val="3CC258D5"/>
    <w:rsid w:val="3CD30C12"/>
    <w:rsid w:val="3CDC1F42"/>
    <w:rsid w:val="3CF11106"/>
    <w:rsid w:val="3CF1460B"/>
    <w:rsid w:val="3CFE7137"/>
    <w:rsid w:val="3CFF5FCC"/>
    <w:rsid w:val="3D1A706D"/>
    <w:rsid w:val="3D1E69C8"/>
    <w:rsid w:val="3D216871"/>
    <w:rsid w:val="3D244471"/>
    <w:rsid w:val="3D4C08A0"/>
    <w:rsid w:val="3D4D4F31"/>
    <w:rsid w:val="3D5305FD"/>
    <w:rsid w:val="3D5B4F5D"/>
    <w:rsid w:val="3D5F34BD"/>
    <w:rsid w:val="3D752505"/>
    <w:rsid w:val="3D762AD7"/>
    <w:rsid w:val="3D7A5575"/>
    <w:rsid w:val="3D7D0F46"/>
    <w:rsid w:val="3D8370EF"/>
    <w:rsid w:val="3D87456C"/>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E4AA7"/>
    <w:rsid w:val="3F1744A9"/>
    <w:rsid w:val="3F193BE6"/>
    <w:rsid w:val="3F1D1FCC"/>
    <w:rsid w:val="3F23345D"/>
    <w:rsid w:val="3F322E39"/>
    <w:rsid w:val="3F3365BB"/>
    <w:rsid w:val="3F396ADC"/>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C454C6"/>
    <w:rsid w:val="3FC657A0"/>
    <w:rsid w:val="3FE31D82"/>
    <w:rsid w:val="3FEE7226"/>
    <w:rsid w:val="3FF60A01"/>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30B74"/>
    <w:rsid w:val="40AA54F1"/>
    <w:rsid w:val="40CC1C7A"/>
    <w:rsid w:val="40D145D9"/>
    <w:rsid w:val="40DA6699"/>
    <w:rsid w:val="40E81F30"/>
    <w:rsid w:val="4107385B"/>
    <w:rsid w:val="4113642B"/>
    <w:rsid w:val="41151751"/>
    <w:rsid w:val="411D5581"/>
    <w:rsid w:val="411F13DA"/>
    <w:rsid w:val="41225E28"/>
    <w:rsid w:val="413635BD"/>
    <w:rsid w:val="413E7731"/>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B71E6"/>
    <w:rsid w:val="4313140F"/>
    <w:rsid w:val="4328318E"/>
    <w:rsid w:val="4337362E"/>
    <w:rsid w:val="43377A41"/>
    <w:rsid w:val="433C0AD9"/>
    <w:rsid w:val="435C2DD4"/>
    <w:rsid w:val="43606EE8"/>
    <w:rsid w:val="436D6C7E"/>
    <w:rsid w:val="43825E8E"/>
    <w:rsid w:val="438C60C3"/>
    <w:rsid w:val="438D3A8B"/>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90F04"/>
    <w:rsid w:val="44387B6B"/>
    <w:rsid w:val="44396033"/>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400BC0"/>
    <w:rsid w:val="455C4C80"/>
    <w:rsid w:val="455D4229"/>
    <w:rsid w:val="45617F43"/>
    <w:rsid w:val="45675C27"/>
    <w:rsid w:val="4572498F"/>
    <w:rsid w:val="458469DB"/>
    <w:rsid w:val="45863114"/>
    <w:rsid w:val="45871207"/>
    <w:rsid w:val="459D3251"/>
    <w:rsid w:val="45A1725C"/>
    <w:rsid w:val="45A34A00"/>
    <w:rsid w:val="45B33A3B"/>
    <w:rsid w:val="45C20D69"/>
    <w:rsid w:val="45D077D4"/>
    <w:rsid w:val="45DE6754"/>
    <w:rsid w:val="45EF1E60"/>
    <w:rsid w:val="45F877F1"/>
    <w:rsid w:val="46043836"/>
    <w:rsid w:val="46163A58"/>
    <w:rsid w:val="461C30A3"/>
    <w:rsid w:val="461F2208"/>
    <w:rsid w:val="462253D7"/>
    <w:rsid w:val="463416CE"/>
    <w:rsid w:val="4638223A"/>
    <w:rsid w:val="4641025F"/>
    <w:rsid w:val="464B7611"/>
    <w:rsid w:val="466E0F0B"/>
    <w:rsid w:val="4673382E"/>
    <w:rsid w:val="4675674D"/>
    <w:rsid w:val="468D1FB1"/>
    <w:rsid w:val="468F6773"/>
    <w:rsid w:val="469A330F"/>
    <w:rsid w:val="469F56A5"/>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835B6"/>
    <w:rsid w:val="48CD6635"/>
    <w:rsid w:val="48D5673E"/>
    <w:rsid w:val="48DE76C4"/>
    <w:rsid w:val="48E16DD8"/>
    <w:rsid w:val="48E31A8E"/>
    <w:rsid w:val="48E5360E"/>
    <w:rsid w:val="48F15DFA"/>
    <w:rsid w:val="4900172C"/>
    <w:rsid w:val="491451B5"/>
    <w:rsid w:val="491A53A2"/>
    <w:rsid w:val="492C6E96"/>
    <w:rsid w:val="493779BE"/>
    <w:rsid w:val="493F499D"/>
    <w:rsid w:val="4940480E"/>
    <w:rsid w:val="494139AE"/>
    <w:rsid w:val="494E7EAB"/>
    <w:rsid w:val="49597EFF"/>
    <w:rsid w:val="49657721"/>
    <w:rsid w:val="49683F5D"/>
    <w:rsid w:val="49825CBE"/>
    <w:rsid w:val="49A67A57"/>
    <w:rsid w:val="49AD250C"/>
    <w:rsid w:val="49B839C4"/>
    <w:rsid w:val="49D94FE5"/>
    <w:rsid w:val="49F43B8C"/>
    <w:rsid w:val="49F678F8"/>
    <w:rsid w:val="4A0D10B0"/>
    <w:rsid w:val="4A223490"/>
    <w:rsid w:val="4A280924"/>
    <w:rsid w:val="4A2B1DEA"/>
    <w:rsid w:val="4A2D0F49"/>
    <w:rsid w:val="4A3523B2"/>
    <w:rsid w:val="4A443451"/>
    <w:rsid w:val="4A483D90"/>
    <w:rsid w:val="4A712BA0"/>
    <w:rsid w:val="4A7A21C8"/>
    <w:rsid w:val="4A86569C"/>
    <w:rsid w:val="4A9A792C"/>
    <w:rsid w:val="4A9C373F"/>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D70D0D"/>
    <w:rsid w:val="4BE55BB9"/>
    <w:rsid w:val="4BE75CB2"/>
    <w:rsid w:val="4BEE16DF"/>
    <w:rsid w:val="4C0F5E43"/>
    <w:rsid w:val="4C23594D"/>
    <w:rsid w:val="4C2941CA"/>
    <w:rsid w:val="4C2E7524"/>
    <w:rsid w:val="4C380520"/>
    <w:rsid w:val="4C3979DB"/>
    <w:rsid w:val="4C3D2514"/>
    <w:rsid w:val="4C3E0FF7"/>
    <w:rsid w:val="4C4128E4"/>
    <w:rsid w:val="4C642696"/>
    <w:rsid w:val="4C753405"/>
    <w:rsid w:val="4C834096"/>
    <w:rsid w:val="4C96033B"/>
    <w:rsid w:val="4C97549D"/>
    <w:rsid w:val="4C9F5F18"/>
    <w:rsid w:val="4CA52FBE"/>
    <w:rsid w:val="4CA6567B"/>
    <w:rsid w:val="4CAB201F"/>
    <w:rsid w:val="4CC4204E"/>
    <w:rsid w:val="4CC754CA"/>
    <w:rsid w:val="4CCF2F1F"/>
    <w:rsid w:val="4CD841F0"/>
    <w:rsid w:val="4CD87782"/>
    <w:rsid w:val="4CDD1206"/>
    <w:rsid w:val="4CF06B00"/>
    <w:rsid w:val="4CF76CE2"/>
    <w:rsid w:val="4CF813F9"/>
    <w:rsid w:val="4CFA2A1C"/>
    <w:rsid w:val="4D1B2635"/>
    <w:rsid w:val="4D2251B3"/>
    <w:rsid w:val="4D2A31DF"/>
    <w:rsid w:val="4D3071CD"/>
    <w:rsid w:val="4D463441"/>
    <w:rsid w:val="4D6837B8"/>
    <w:rsid w:val="4D6A0811"/>
    <w:rsid w:val="4D6F6F69"/>
    <w:rsid w:val="4D776DC3"/>
    <w:rsid w:val="4D877D93"/>
    <w:rsid w:val="4D905912"/>
    <w:rsid w:val="4D9159F5"/>
    <w:rsid w:val="4D96605A"/>
    <w:rsid w:val="4D98115A"/>
    <w:rsid w:val="4DA01148"/>
    <w:rsid w:val="4DCD73A9"/>
    <w:rsid w:val="4DDE509A"/>
    <w:rsid w:val="4DE74431"/>
    <w:rsid w:val="4DF21DFB"/>
    <w:rsid w:val="4DFD3850"/>
    <w:rsid w:val="4E0E6E43"/>
    <w:rsid w:val="4E1702F3"/>
    <w:rsid w:val="4E2369FD"/>
    <w:rsid w:val="4E303544"/>
    <w:rsid w:val="4E33408C"/>
    <w:rsid w:val="4E3D0BD7"/>
    <w:rsid w:val="4E3D42C6"/>
    <w:rsid w:val="4E652349"/>
    <w:rsid w:val="4E710658"/>
    <w:rsid w:val="4E846458"/>
    <w:rsid w:val="4E8603AB"/>
    <w:rsid w:val="4E9D6535"/>
    <w:rsid w:val="4EA2405B"/>
    <w:rsid w:val="4EB244F5"/>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933F9"/>
    <w:rsid w:val="4F7B2A3C"/>
    <w:rsid w:val="4F8144A4"/>
    <w:rsid w:val="4F8731AB"/>
    <w:rsid w:val="4F903087"/>
    <w:rsid w:val="4FAD3702"/>
    <w:rsid w:val="4FC6748D"/>
    <w:rsid w:val="4FD14464"/>
    <w:rsid w:val="4FE20BB5"/>
    <w:rsid w:val="4FE6073F"/>
    <w:rsid w:val="4FE75848"/>
    <w:rsid w:val="4FF267B6"/>
    <w:rsid w:val="4FFA7287"/>
    <w:rsid w:val="500C2485"/>
    <w:rsid w:val="500C2A64"/>
    <w:rsid w:val="50166EE3"/>
    <w:rsid w:val="502C53C6"/>
    <w:rsid w:val="503839AD"/>
    <w:rsid w:val="503B7294"/>
    <w:rsid w:val="50435A98"/>
    <w:rsid w:val="50564035"/>
    <w:rsid w:val="50576974"/>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50314F"/>
    <w:rsid w:val="51526357"/>
    <w:rsid w:val="51533CC7"/>
    <w:rsid w:val="51552566"/>
    <w:rsid w:val="515F7EA6"/>
    <w:rsid w:val="516164B6"/>
    <w:rsid w:val="516372E4"/>
    <w:rsid w:val="516414B3"/>
    <w:rsid w:val="517003D2"/>
    <w:rsid w:val="51887C28"/>
    <w:rsid w:val="519705C8"/>
    <w:rsid w:val="519B3A9C"/>
    <w:rsid w:val="51B33439"/>
    <w:rsid w:val="51B3391D"/>
    <w:rsid w:val="51BD3E01"/>
    <w:rsid w:val="51CB7231"/>
    <w:rsid w:val="51DE6A73"/>
    <w:rsid w:val="51F326E7"/>
    <w:rsid w:val="52037937"/>
    <w:rsid w:val="521956B4"/>
    <w:rsid w:val="52306F10"/>
    <w:rsid w:val="523F19CF"/>
    <w:rsid w:val="52463294"/>
    <w:rsid w:val="52473222"/>
    <w:rsid w:val="524C1ED0"/>
    <w:rsid w:val="5252693E"/>
    <w:rsid w:val="525B21B3"/>
    <w:rsid w:val="5288723F"/>
    <w:rsid w:val="529D62AB"/>
    <w:rsid w:val="52A764C0"/>
    <w:rsid w:val="52A77E20"/>
    <w:rsid w:val="52AA1D5D"/>
    <w:rsid w:val="52B27CEE"/>
    <w:rsid w:val="52C716E5"/>
    <w:rsid w:val="52C73CB6"/>
    <w:rsid w:val="52CF5BD6"/>
    <w:rsid w:val="52E02DB1"/>
    <w:rsid w:val="52E15A71"/>
    <w:rsid w:val="52E64FBD"/>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F6E85"/>
    <w:rsid w:val="53F050F7"/>
    <w:rsid w:val="53FD74A7"/>
    <w:rsid w:val="54026475"/>
    <w:rsid w:val="540D2DB1"/>
    <w:rsid w:val="54113405"/>
    <w:rsid w:val="54265DCC"/>
    <w:rsid w:val="54564BA3"/>
    <w:rsid w:val="545A23E4"/>
    <w:rsid w:val="545D2A76"/>
    <w:rsid w:val="547C69F2"/>
    <w:rsid w:val="548352CB"/>
    <w:rsid w:val="548B782B"/>
    <w:rsid w:val="548B79F3"/>
    <w:rsid w:val="54900F96"/>
    <w:rsid w:val="54990495"/>
    <w:rsid w:val="54A12B05"/>
    <w:rsid w:val="54AE498A"/>
    <w:rsid w:val="54D509EC"/>
    <w:rsid w:val="54D73DC0"/>
    <w:rsid w:val="54D94CB6"/>
    <w:rsid w:val="55093E22"/>
    <w:rsid w:val="553266E7"/>
    <w:rsid w:val="553413DD"/>
    <w:rsid w:val="55367F4D"/>
    <w:rsid w:val="553A13A9"/>
    <w:rsid w:val="55440B0E"/>
    <w:rsid w:val="55494A31"/>
    <w:rsid w:val="554B1F27"/>
    <w:rsid w:val="557370C9"/>
    <w:rsid w:val="55794F8B"/>
    <w:rsid w:val="557B4C8B"/>
    <w:rsid w:val="55832F33"/>
    <w:rsid w:val="558A5F58"/>
    <w:rsid w:val="558D782E"/>
    <w:rsid w:val="558F42FA"/>
    <w:rsid w:val="55951C70"/>
    <w:rsid w:val="55B52DF8"/>
    <w:rsid w:val="55BB4B52"/>
    <w:rsid w:val="55CA34C8"/>
    <w:rsid w:val="55CB1CAC"/>
    <w:rsid w:val="55D11067"/>
    <w:rsid w:val="55D1448A"/>
    <w:rsid w:val="55D15F89"/>
    <w:rsid w:val="55D24E7E"/>
    <w:rsid w:val="55EA6D1D"/>
    <w:rsid w:val="55EE45E5"/>
    <w:rsid w:val="55FE6BE4"/>
    <w:rsid w:val="56053523"/>
    <w:rsid w:val="560839E5"/>
    <w:rsid w:val="560A2D1E"/>
    <w:rsid w:val="561B3DC0"/>
    <w:rsid w:val="56211BC6"/>
    <w:rsid w:val="56597936"/>
    <w:rsid w:val="565A3745"/>
    <w:rsid w:val="56674043"/>
    <w:rsid w:val="566A4A9E"/>
    <w:rsid w:val="56890707"/>
    <w:rsid w:val="5694199B"/>
    <w:rsid w:val="56A010CA"/>
    <w:rsid w:val="56A8433D"/>
    <w:rsid w:val="56B50793"/>
    <w:rsid w:val="56D87655"/>
    <w:rsid w:val="56DA3AE3"/>
    <w:rsid w:val="56DC7D13"/>
    <w:rsid w:val="56DD7F29"/>
    <w:rsid w:val="56DF393F"/>
    <w:rsid w:val="56E82126"/>
    <w:rsid w:val="56F267E1"/>
    <w:rsid w:val="56F54041"/>
    <w:rsid w:val="57036935"/>
    <w:rsid w:val="57066F91"/>
    <w:rsid w:val="571324AB"/>
    <w:rsid w:val="571E6EC9"/>
    <w:rsid w:val="57211E57"/>
    <w:rsid w:val="57271B76"/>
    <w:rsid w:val="57290486"/>
    <w:rsid w:val="57495B53"/>
    <w:rsid w:val="57555665"/>
    <w:rsid w:val="575F3DA0"/>
    <w:rsid w:val="5764164C"/>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87B2D"/>
    <w:rsid w:val="586C05B7"/>
    <w:rsid w:val="586C737F"/>
    <w:rsid w:val="587B333A"/>
    <w:rsid w:val="587F5229"/>
    <w:rsid w:val="588300A0"/>
    <w:rsid w:val="58872DB5"/>
    <w:rsid w:val="5889510C"/>
    <w:rsid w:val="588E3958"/>
    <w:rsid w:val="58957BD9"/>
    <w:rsid w:val="58A03185"/>
    <w:rsid w:val="58A04280"/>
    <w:rsid w:val="58A4669B"/>
    <w:rsid w:val="58A74E2C"/>
    <w:rsid w:val="58B50A9E"/>
    <w:rsid w:val="58B54357"/>
    <w:rsid w:val="58B67D21"/>
    <w:rsid w:val="58C213D0"/>
    <w:rsid w:val="58CA2633"/>
    <w:rsid w:val="58D108AB"/>
    <w:rsid w:val="58E849A9"/>
    <w:rsid w:val="58F14B54"/>
    <w:rsid w:val="590848BC"/>
    <w:rsid w:val="5917423E"/>
    <w:rsid w:val="593B0E3D"/>
    <w:rsid w:val="594C374D"/>
    <w:rsid w:val="59523F34"/>
    <w:rsid w:val="59565A07"/>
    <w:rsid w:val="595912C2"/>
    <w:rsid w:val="59826013"/>
    <w:rsid w:val="599312D8"/>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415650"/>
    <w:rsid w:val="5A5105C3"/>
    <w:rsid w:val="5A58463C"/>
    <w:rsid w:val="5A5925FE"/>
    <w:rsid w:val="5A5A54FE"/>
    <w:rsid w:val="5A5A763A"/>
    <w:rsid w:val="5A70416F"/>
    <w:rsid w:val="5A751708"/>
    <w:rsid w:val="5A8654CC"/>
    <w:rsid w:val="5A8D164F"/>
    <w:rsid w:val="5AAD6717"/>
    <w:rsid w:val="5AB032EE"/>
    <w:rsid w:val="5AB36283"/>
    <w:rsid w:val="5AC13BE8"/>
    <w:rsid w:val="5AD806B8"/>
    <w:rsid w:val="5ADA200C"/>
    <w:rsid w:val="5ADA5D95"/>
    <w:rsid w:val="5AF0295A"/>
    <w:rsid w:val="5B006684"/>
    <w:rsid w:val="5B0C78F5"/>
    <w:rsid w:val="5B1523FA"/>
    <w:rsid w:val="5B2E1668"/>
    <w:rsid w:val="5B39471A"/>
    <w:rsid w:val="5B4C60A1"/>
    <w:rsid w:val="5B500A59"/>
    <w:rsid w:val="5B506AC3"/>
    <w:rsid w:val="5B526958"/>
    <w:rsid w:val="5B536466"/>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604556"/>
    <w:rsid w:val="5DA03427"/>
    <w:rsid w:val="5DA12B26"/>
    <w:rsid w:val="5DA52D6F"/>
    <w:rsid w:val="5DBE365D"/>
    <w:rsid w:val="5DF242AA"/>
    <w:rsid w:val="5DF27D5A"/>
    <w:rsid w:val="5DF90388"/>
    <w:rsid w:val="5E033F14"/>
    <w:rsid w:val="5E040059"/>
    <w:rsid w:val="5E084C7B"/>
    <w:rsid w:val="5E0914A4"/>
    <w:rsid w:val="5E1844B1"/>
    <w:rsid w:val="5E1F00DC"/>
    <w:rsid w:val="5E2349C0"/>
    <w:rsid w:val="5E250B5E"/>
    <w:rsid w:val="5E325F47"/>
    <w:rsid w:val="5E3C6C0B"/>
    <w:rsid w:val="5E3F4424"/>
    <w:rsid w:val="5E433908"/>
    <w:rsid w:val="5E506258"/>
    <w:rsid w:val="5E596E47"/>
    <w:rsid w:val="5E607A72"/>
    <w:rsid w:val="5E640B4C"/>
    <w:rsid w:val="5E721515"/>
    <w:rsid w:val="5E8421F4"/>
    <w:rsid w:val="5E857C28"/>
    <w:rsid w:val="5E922AF4"/>
    <w:rsid w:val="5E943315"/>
    <w:rsid w:val="5E99403E"/>
    <w:rsid w:val="5EA23BEF"/>
    <w:rsid w:val="5EAA45C2"/>
    <w:rsid w:val="5EAB7374"/>
    <w:rsid w:val="5EB5647F"/>
    <w:rsid w:val="5ECA27B9"/>
    <w:rsid w:val="5ECB7BF2"/>
    <w:rsid w:val="5EE969C3"/>
    <w:rsid w:val="5EF24373"/>
    <w:rsid w:val="5EF30AE7"/>
    <w:rsid w:val="5EF775EB"/>
    <w:rsid w:val="5F123402"/>
    <w:rsid w:val="5F15489F"/>
    <w:rsid w:val="5F160E8A"/>
    <w:rsid w:val="5F1B18E3"/>
    <w:rsid w:val="5F1B6750"/>
    <w:rsid w:val="5F2E502C"/>
    <w:rsid w:val="5F3F41A6"/>
    <w:rsid w:val="5F416DDD"/>
    <w:rsid w:val="5F5F2A5D"/>
    <w:rsid w:val="5F6A70E7"/>
    <w:rsid w:val="5F7413ED"/>
    <w:rsid w:val="5F74277E"/>
    <w:rsid w:val="5F771E2C"/>
    <w:rsid w:val="5F817E11"/>
    <w:rsid w:val="5F916B4B"/>
    <w:rsid w:val="5F9C1A78"/>
    <w:rsid w:val="5FA76A91"/>
    <w:rsid w:val="5FC57C91"/>
    <w:rsid w:val="5FCE245F"/>
    <w:rsid w:val="5FD32219"/>
    <w:rsid w:val="5FDC1B9B"/>
    <w:rsid w:val="5FF50B7C"/>
    <w:rsid w:val="5FF74A8C"/>
    <w:rsid w:val="5FFB1252"/>
    <w:rsid w:val="60072412"/>
    <w:rsid w:val="60130301"/>
    <w:rsid w:val="60196F3A"/>
    <w:rsid w:val="603043EF"/>
    <w:rsid w:val="604D59E9"/>
    <w:rsid w:val="6053446B"/>
    <w:rsid w:val="606821BD"/>
    <w:rsid w:val="60830074"/>
    <w:rsid w:val="60870B21"/>
    <w:rsid w:val="608E350A"/>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D00F1"/>
    <w:rsid w:val="61C02FF5"/>
    <w:rsid w:val="61D55291"/>
    <w:rsid w:val="61DB6C55"/>
    <w:rsid w:val="61EE19CC"/>
    <w:rsid w:val="61F354C2"/>
    <w:rsid w:val="61FC4A4E"/>
    <w:rsid w:val="6209128F"/>
    <w:rsid w:val="620E5D8A"/>
    <w:rsid w:val="62125083"/>
    <w:rsid w:val="62262E7A"/>
    <w:rsid w:val="6231003C"/>
    <w:rsid w:val="62366488"/>
    <w:rsid w:val="623B63B7"/>
    <w:rsid w:val="623F4920"/>
    <w:rsid w:val="62494F09"/>
    <w:rsid w:val="624A1B49"/>
    <w:rsid w:val="624E45D8"/>
    <w:rsid w:val="6250617C"/>
    <w:rsid w:val="62520DCA"/>
    <w:rsid w:val="62666F47"/>
    <w:rsid w:val="62690F67"/>
    <w:rsid w:val="627A370F"/>
    <w:rsid w:val="62990512"/>
    <w:rsid w:val="62B25649"/>
    <w:rsid w:val="62BC6E00"/>
    <w:rsid w:val="62C56FE5"/>
    <w:rsid w:val="62C7240E"/>
    <w:rsid w:val="62EA423D"/>
    <w:rsid w:val="630031BE"/>
    <w:rsid w:val="630B732A"/>
    <w:rsid w:val="630E78F0"/>
    <w:rsid w:val="63103FC7"/>
    <w:rsid w:val="63160CAE"/>
    <w:rsid w:val="631652DA"/>
    <w:rsid w:val="631D3111"/>
    <w:rsid w:val="63204A36"/>
    <w:rsid w:val="63250A4F"/>
    <w:rsid w:val="63283C61"/>
    <w:rsid w:val="632E1C39"/>
    <w:rsid w:val="633B5E70"/>
    <w:rsid w:val="635342C2"/>
    <w:rsid w:val="635B4F0A"/>
    <w:rsid w:val="635D125E"/>
    <w:rsid w:val="6361690C"/>
    <w:rsid w:val="636D152D"/>
    <w:rsid w:val="63727389"/>
    <w:rsid w:val="63733461"/>
    <w:rsid w:val="63740D84"/>
    <w:rsid w:val="637E3BE7"/>
    <w:rsid w:val="63850E8E"/>
    <w:rsid w:val="63882CEE"/>
    <w:rsid w:val="638C4CDE"/>
    <w:rsid w:val="63905FCF"/>
    <w:rsid w:val="63A20961"/>
    <w:rsid w:val="63A20A78"/>
    <w:rsid w:val="63A853FB"/>
    <w:rsid w:val="63C75B92"/>
    <w:rsid w:val="63CA29B9"/>
    <w:rsid w:val="63D3253C"/>
    <w:rsid w:val="63DB6970"/>
    <w:rsid w:val="63EC6C3A"/>
    <w:rsid w:val="63F60575"/>
    <w:rsid w:val="63F77FB1"/>
    <w:rsid w:val="63F97961"/>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73716"/>
    <w:rsid w:val="64B83EC8"/>
    <w:rsid w:val="64BD7A01"/>
    <w:rsid w:val="64C97B3D"/>
    <w:rsid w:val="64CD75B9"/>
    <w:rsid w:val="64D85F5A"/>
    <w:rsid w:val="64E96A52"/>
    <w:rsid w:val="64EE07A4"/>
    <w:rsid w:val="64F7096E"/>
    <w:rsid w:val="64FD759D"/>
    <w:rsid w:val="65003550"/>
    <w:rsid w:val="650345B5"/>
    <w:rsid w:val="65041A55"/>
    <w:rsid w:val="65096401"/>
    <w:rsid w:val="651F1D9A"/>
    <w:rsid w:val="6528351F"/>
    <w:rsid w:val="65296FC8"/>
    <w:rsid w:val="653033DC"/>
    <w:rsid w:val="65327258"/>
    <w:rsid w:val="6539735F"/>
    <w:rsid w:val="653F00AD"/>
    <w:rsid w:val="65544D25"/>
    <w:rsid w:val="655C6CD3"/>
    <w:rsid w:val="6566344B"/>
    <w:rsid w:val="656A573C"/>
    <w:rsid w:val="65763127"/>
    <w:rsid w:val="65886A1A"/>
    <w:rsid w:val="65893ACB"/>
    <w:rsid w:val="65905186"/>
    <w:rsid w:val="65937E61"/>
    <w:rsid w:val="659E6DB8"/>
    <w:rsid w:val="65A35E61"/>
    <w:rsid w:val="65A62DB8"/>
    <w:rsid w:val="65B12C47"/>
    <w:rsid w:val="65B22CB3"/>
    <w:rsid w:val="65B867AF"/>
    <w:rsid w:val="65BB367F"/>
    <w:rsid w:val="65CA48D5"/>
    <w:rsid w:val="65DA1825"/>
    <w:rsid w:val="65DC577D"/>
    <w:rsid w:val="65E55DC7"/>
    <w:rsid w:val="660518AD"/>
    <w:rsid w:val="66112D35"/>
    <w:rsid w:val="662249C7"/>
    <w:rsid w:val="662E458E"/>
    <w:rsid w:val="664F1459"/>
    <w:rsid w:val="6660751B"/>
    <w:rsid w:val="66843C27"/>
    <w:rsid w:val="668A358B"/>
    <w:rsid w:val="66A22294"/>
    <w:rsid w:val="66B167D9"/>
    <w:rsid w:val="66B718F6"/>
    <w:rsid w:val="66B77C96"/>
    <w:rsid w:val="66C6028C"/>
    <w:rsid w:val="66EB255A"/>
    <w:rsid w:val="66F35B25"/>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B36D91"/>
    <w:rsid w:val="67CD4770"/>
    <w:rsid w:val="67DF5131"/>
    <w:rsid w:val="67E0527D"/>
    <w:rsid w:val="67E31422"/>
    <w:rsid w:val="67EA4D75"/>
    <w:rsid w:val="67F50316"/>
    <w:rsid w:val="67F8136D"/>
    <w:rsid w:val="680B3317"/>
    <w:rsid w:val="682C3322"/>
    <w:rsid w:val="683F785C"/>
    <w:rsid w:val="68570DC2"/>
    <w:rsid w:val="6865768E"/>
    <w:rsid w:val="6868422B"/>
    <w:rsid w:val="68756660"/>
    <w:rsid w:val="687B65AE"/>
    <w:rsid w:val="68847A53"/>
    <w:rsid w:val="68910854"/>
    <w:rsid w:val="68A208F6"/>
    <w:rsid w:val="68A864AF"/>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2A83"/>
    <w:rsid w:val="69D15066"/>
    <w:rsid w:val="69DF62ED"/>
    <w:rsid w:val="69E55D04"/>
    <w:rsid w:val="69E71CBB"/>
    <w:rsid w:val="6A041549"/>
    <w:rsid w:val="6A062314"/>
    <w:rsid w:val="6A07169A"/>
    <w:rsid w:val="6A1904ED"/>
    <w:rsid w:val="6A252E83"/>
    <w:rsid w:val="6A2B39A2"/>
    <w:rsid w:val="6A4E63D2"/>
    <w:rsid w:val="6A72023C"/>
    <w:rsid w:val="6A835F76"/>
    <w:rsid w:val="6A892BBB"/>
    <w:rsid w:val="6A9010CD"/>
    <w:rsid w:val="6A934155"/>
    <w:rsid w:val="6A960F65"/>
    <w:rsid w:val="6A977D6C"/>
    <w:rsid w:val="6A981DCD"/>
    <w:rsid w:val="6AB638F9"/>
    <w:rsid w:val="6AB71A6D"/>
    <w:rsid w:val="6AE65368"/>
    <w:rsid w:val="6AEF2922"/>
    <w:rsid w:val="6AF317F3"/>
    <w:rsid w:val="6AF32F66"/>
    <w:rsid w:val="6AFF3D73"/>
    <w:rsid w:val="6B0B7BB9"/>
    <w:rsid w:val="6B1444F7"/>
    <w:rsid w:val="6B1C3891"/>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A6208"/>
    <w:rsid w:val="6BFF45AB"/>
    <w:rsid w:val="6C081D85"/>
    <w:rsid w:val="6C0B3C6A"/>
    <w:rsid w:val="6C0B6EFE"/>
    <w:rsid w:val="6C337910"/>
    <w:rsid w:val="6C404FA0"/>
    <w:rsid w:val="6C4B4E38"/>
    <w:rsid w:val="6C5343CE"/>
    <w:rsid w:val="6C5643DD"/>
    <w:rsid w:val="6C727D8C"/>
    <w:rsid w:val="6C7C29A7"/>
    <w:rsid w:val="6C804214"/>
    <w:rsid w:val="6C866650"/>
    <w:rsid w:val="6CB56876"/>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563901"/>
    <w:rsid w:val="6D564DD4"/>
    <w:rsid w:val="6D5E77D6"/>
    <w:rsid w:val="6D6C0E13"/>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C098B"/>
    <w:rsid w:val="6E4662DC"/>
    <w:rsid w:val="6E511E37"/>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B16C3"/>
    <w:rsid w:val="71BB467B"/>
    <w:rsid w:val="71BD3980"/>
    <w:rsid w:val="71BE5BCC"/>
    <w:rsid w:val="71BF1635"/>
    <w:rsid w:val="71C20D86"/>
    <w:rsid w:val="71C417B3"/>
    <w:rsid w:val="71D012DA"/>
    <w:rsid w:val="71E63697"/>
    <w:rsid w:val="71F723E8"/>
    <w:rsid w:val="7202528F"/>
    <w:rsid w:val="72196F07"/>
    <w:rsid w:val="721C71DD"/>
    <w:rsid w:val="72317074"/>
    <w:rsid w:val="723472E2"/>
    <w:rsid w:val="72357F64"/>
    <w:rsid w:val="72386A0D"/>
    <w:rsid w:val="726C5886"/>
    <w:rsid w:val="727205E6"/>
    <w:rsid w:val="727262A0"/>
    <w:rsid w:val="727B396C"/>
    <w:rsid w:val="72806500"/>
    <w:rsid w:val="728511DC"/>
    <w:rsid w:val="728A019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E154A0"/>
    <w:rsid w:val="73F641AB"/>
    <w:rsid w:val="73F92E98"/>
    <w:rsid w:val="740E2030"/>
    <w:rsid w:val="74144EA0"/>
    <w:rsid w:val="741474A6"/>
    <w:rsid w:val="741D661B"/>
    <w:rsid w:val="741E6193"/>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C068A9"/>
    <w:rsid w:val="75CC0E61"/>
    <w:rsid w:val="75DB4086"/>
    <w:rsid w:val="75DF68BB"/>
    <w:rsid w:val="75E417B2"/>
    <w:rsid w:val="76132FE4"/>
    <w:rsid w:val="762239BB"/>
    <w:rsid w:val="762A014F"/>
    <w:rsid w:val="76301DC9"/>
    <w:rsid w:val="763656E0"/>
    <w:rsid w:val="763C3EA3"/>
    <w:rsid w:val="76400507"/>
    <w:rsid w:val="764440D9"/>
    <w:rsid w:val="765C674B"/>
    <w:rsid w:val="7663578F"/>
    <w:rsid w:val="768E55DA"/>
    <w:rsid w:val="769F6C8C"/>
    <w:rsid w:val="76A0160E"/>
    <w:rsid w:val="76A54445"/>
    <w:rsid w:val="76BD097A"/>
    <w:rsid w:val="76C5396B"/>
    <w:rsid w:val="76CE25D0"/>
    <w:rsid w:val="76D64223"/>
    <w:rsid w:val="76E30140"/>
    <w:rsid w:val="76E61D96"/>
    <w:rsid w:val="76EB730E"/>
    <w:rsid w:val="76F63E3A"/>
    <w:rsid w:val="76F754DC"/>
    <w:rsid w:val="77363120"/>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3E4240"/>
    <w:rsid w:val="784063F8"/>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E1E8C"/>
    <w:rsid w:val="794E6DA1"/>
    <w:rsid w:val="795718DC"/>
    <w:rsid w:val="795A7853"/>
    <w:rsid w:val="79625528"/>
    <w:rsid w:val="7963001B"/>
    <w:rsid w:val="796411F3"/>
    <w:rsid w:val="796528F1"/>
    <w:rsid w:val="79782668"/>
    <w:rsid w:val="797D7C7B"/>
    <w:rsid w:val="798473C1"/>
    <w:rsid w:val="798D0CB1"/>
    <w:rsid w:val="79A917D5"/>
    <w:rsid w:val="79F866D7"/>
    <w:rsid w:val="7A0D5030"/>
    <w:rsid w:val="7A1F0B92"/>
    <w:rsid w:val="7A2F0FE2"/>
    <w:rsid w:val="7A2F6A25"/>
    <w:rsid w:val="7A375628"/>
    <w:rsid w:val="7A3B0D02"/>
    <w:rsid w:val="7A3C0448"/>
    <w:rsid w:val="7A462225"/>
    <w:rsid w:val="7A4B1579"/>
    <w:rsid w:val="7A560120"/>
    <w:rsid w:val="7A644184"/>
    <w:rsid w:val="7A9B085A"/>
    <w:rsid w:val="7A9B6D29"/>
    <w:rsid w:val="7A9F5588"/>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354C7"/>
    <w:rsid w:val="7D941C0F"/>
    <w:rsid w:val="7DAB67A3"/>
    <w:rsid w:val="7DB44B27"/>
    <w:rsid w:val="7DB82B5F"/>
    <w:rsid w:val="7DBF30E5"/>
    <w:rsid w:val="7DC92892"/>
    <w:rsid w:val="7DD3555C"/>
    <w:rsid w:val="7DDC1687"/>
    <w:rsid w:val="7DDC5561"/>
    <w:rsid w:val="7DE53A1D"/>
    <w:rsid w:val="7DE805EC"/>
    <w:rsid w:val="7DFB2768"/>
    <w:rsid w:val="7E0D1655"/>
    <w:rsid w:val="7E0E4C52"/>
    <w:rsid w:val="7E180D00"/>
    <w:rsid w:val="7E1A5F33"/>
    <w:rsid w:val="7E1B1677"/>
    <w:rsid w:val="7E1B4DBE"/>
    <w:rsid w:val="7E3B0F1A"/>
    <w:rsid w:val="7E4C0278"/>
    <w:rsid w:val="7E5426EF"/>
    <w:rsid w:val="7E554F28"/>
    <w:rsid w:val="7E582A5A"/>
    <w:rsid w:val="7E705793"/>
    <w:rsid w:val="7E8209B3"/>
    <w:rsid w:val="7E851695"/>
    <w:rsid w:val="7E865444"/>
    <w:rsid w:val="7E970A59"/>
    <w:rsid w:val="7E9E66E4"/>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614FF"/>
    <w:rsid w:val="7F9C2851"/>
    <w:rsid w:val="7F9C3B32"/>
    <w:rsid w:val="7FC00AC8"/>
    <w:rsid w:val="7FCB421A"/>
    <w:rsid w:val="7FCF058D"/>
    <w:rsid w:val="7FD25D7C"/>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2"/>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5"/>
    <w:next w:val="1"/>
    <w:link w:val="73"/>
    <w:qFormat/>
    <w:uiPriority w:val="0"/>
    <w:pPr>
      <w:tabs>
        <w:tab w:val="left" w:pos="1008"/>
        <w:tab w:val="left" w:pos="2383"/>
        <w:tab w:val="clear" w:pos="864"/>
        <w:tab w:val="clear" w:pos="2071"/>
      </w:tabs>
      <w:ind w:left="2196"/>
      <w:outlineLvl w:val="4"/>
    </w:p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4">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ascii="Arial" w:hAnsi="Arial" w:eastAsia="MS Mincho"/>
      <w:kern w:val="0"/>
      <w:sz w:val="2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annotation subject"/>
    <w:basedOn w:val="15"/>
    <w:next w:val="15"/>
    <w:link w:val="91"/>
    <w:semiHidden/>
    <w:qFormat/>
    <w:uiPriority w:val="0"/>
    <w:pPr>
      <w:widowControl/>
      <w:spacing w:before="40"/>
    </w:pPr>
    <w:rPr>
      <w:rFonts w:ascii="Arial" w:hAnsi="Arial" w:eastAsia="MS Mincho"/>
      <w:b/>
      <w:bCs/>
      <w:kern w:val="0"/>
      <w:sz w:val="20"/>
      <w:szCs w:val="20"/>
      <w:lang w:val="en-GB" w:eastAsia="en-GB"/>
    </w:rPr>
  </w:style>
  <w:style w:type="paragraph" w:styleId="15">
    <w:name w:val="annotation text"/>
    <w:basedOn w:val="1"/>
    <w:link w:val="175"/>
    <w:unhideWhenUsed/>
    <w:qFormat/>
    <w:uiPriority w:val="0"/>
    <w:pPr>
      <w:jc w:val="left"/>
    </w:pPr>
  </w:style>
  <w:style w:type="paragraph" w:styleId="16">
    <w:name w:val="toc 7"/>
    <w:basedOn w:val="1"/>
    <w:next w:val="1"/>
    <w:qFormat/>
    <w:uiPriority w:val="0"/>
    <w:pPr>
      <w:tabs>
        <w:tab w:val="right" w:leader="dot" w:pos="9241"/>
      </w:tabs>
      <w:ind w:firstLine="500" w:firstLineChars="500"/>
      <w:jc w:val="left"/>
    </w:pPr>
    <w:rPr>
      <w:rFonts w:ascii="宋体"/>
      <w:szCs w:val="21"/>
    </w:rPr>
  </w:style>
  <w:style w:type="paragraph" w:styleId="17">
    <w:name w:val="List Number 2"/>
    <w:basedOn w:val="18"/>
    <w:qFormat/>
    <w:uiPriority w:val="0"/>
    <w:pPr>
      <w:ind w:left="851"/>
    </w:pPr>
  </w:style>
  <w:style w:type="paragraph" w:styleId="18">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9">
    <w:name w:val="List Bullet 4"/>
    <w:basedOn w:val="20"/>
    <w:qFormat/>
    <w:uiPriority w:val="0"/>
    <w:pPr>
      <w:tabs>
        <w:tab w:val="left" w:pos="360"/>
        <w:tab w:val="left" w:pos="1259"/>
      </w:tabs>
      <w:ind w:left="1418"/>
    </w:pPr>
  </w:style>
  <w:style w:type="paragraph" w:styleId="20">
    <w:name w:val="List Bullet 3"/>
    <w:basedOn w:val="21"/>
    <w:qFormat/>
    <w:uiPriority w:val="0"/>
    <w:pPr>
      <w:tabs>
        <w:tab w:val="left" w:pos="360"/>
        <w:tab w:val="left" w:pos="1259"/>
      </w:tabs>
      <w:ind w:left="1135"/>
    </w:pPr>
  </w:style>
  <w:style w:type="paragraph" w:styleId="21">
    <w:name w:val="List Bullet 2"/>
    <w:basedOn w:val="22"/>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2">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3">
    <w:name w:val="index 8"/>
    <w:basedOn w:val="1"/>
    <w:next w:val="1"/>
    <w:qFormat/>
    <w:uiPriority w:val="0"/>
    <w:pPr>
      <w:ind w:left="1680" w:hanging="210"/>
      <w:jc w:val="left"/>
    </w:pPr>
    <w:rPr>
      <w:rFonts w:ascii="Calibri" w:hAnsi="Calibri"/>
      <w:sz w:val="20"/>
      <w:szCs w:val="20"/>
    </w:rPr>
  </w:style>
  <w:style w:type="paragraph" w:styleId="24">
    <w:name w:val="caption"/>
    <w:basedOn w:val="1"/>
    <w:next w:val="1"/>
    <w:link w:val="89"/>
    <w:qFormat/>
    <w:uiPriority w:val="0"/>
    <w:pPr>
      <w:spacing w:before="152"/>
    </w:pPr>
    <w:rPr>
      <w:rFonts w:ascii="Arial" w:hAnsi="Arial" w:eastAsia="黑体" w:cs="Arial"/>
      <w:sz w:val="20"/>
      <w:szCs w:val="20"/>
    </w:rPr>
  </w:style>
  <w:style w:type="paragraph" w:styleId="25">
    <w:name w:val="index 5"/>
    <w:basedOn w:val="1"/>
    <w:next w:val="1"/>
    <w:qFormat/>
    <w:uiPriority w:val="0"/>
    <w:pPr>
      <w:ind w:left="1050" w:hanging="210"/>
      <w:jc w:val="left"/>
    </w:pPr>
    <w:rPr>
      <w:rFonts w:ascii="Calibri" w:hAnsi="Calibri"/>
      <w:sz w:val="20"/>
      <w:szCs w:val="20"/>
    </w:rPr>
  </w:style>
  <w:style w:type="paragraph" w:styleId="26">
    <w:name w:val="Document Map"/>
    <w:basedOn w:val="1"/>
    <w:link w:val="68"/>
    <w:unhideWhenUsed/>
    <w:qFormat/>
    <w:uiPriority w:val="0"/>
    <w:rPr>
      <w:rFonts w:ascii="宋体"/>
      <w:sz w:val="18"/>
      <w:szCs w:val="18"/>
    </w:rPr>
  </w:style>
  <w:style w:type="paragraph" w:styleId="27">
    <w:name w:val="index 6"/>
    <w:basedOn w:val="1"/>
    <w:next w:val="1"/>
    <w:qFormat/>
    <w:uiPriority w:val="0"/>
    <w:pPr>
      <w:ind w:left="1260" w:hanging="210"/>
      <w:jc w:val="left"/>
    </w:pPr>
    <w:rPr>
      <w:rFonts w:ascii="Calibri" w:hAnsi="Calibri"/>
      <w:sz w:val="20"/>
      <w:szCs w:val="20"/>
    </w:rPr>
  </w:style>
  <w:style w:type="paragraph" w:styleId="28">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9"/>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2"/>
    <w:qFormat/>
    <w:uiPriority w:val="0"/>
    <w:pPr>
      <w:snapToGrid w:val="0"/>
      <w:jc w:val="left"/>
    </w:pPr>
  </w:style>
  <w:style w:type="paragraph" w:styleId="37">
    <w:name w:val="Balloon Text"/>
    <w:basedOn w:val="1"/>
    <w:link w:val="66"/>
    <w:unhideWhenUsed/>
    <w:qFormat/>
    <w:uiPriority w:val="0"/>
    <w:rPr>
      <w:sz w:val="18"/>
      <w:szCs w:val="18"/>
    </w:rPr>
  </w:style>
  <w:style w:type="paragraph" w:styleId="38">
    <w:name w:val="footer"/>
    <w:basedOn w:val="1"/>
    <w:link w:val="112"/>
    <w:qFormat/>
    <w:uiPriority w:val="99"/>
    <w:pPr>
      <w:tabs>
        <w:tab w:val="center" w:pos="4153"/>
        <w:tab w:val="right" w:pos="8306"/>
      </w:tabs>
      <w:snapToGrid w:val="0"/>
      <w:jc w:val="left"/>
    </w:pPr>
    <w:rPr>
      <w:sz w:val="18"/>
      <w:szCs w:val="18"/>
    </w:rPr>
  </w:style>
  <w:style w:type="paragraph" w:styleId="39">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49"/>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endnote reference"/>
    <w:basedOn w:val="56"/>
    <w:qFormat/>
    <w:uiPriority w:val="0"/>
    <w:rPr>
      <w:vertAlign w:val="superscript"/>
    </w:rPr>
  </w:style>
  <w:style w:type="character" w:styleId="58">
    <w:name w:val="page number"/>
    <w:basedOn w:val="56"/>
    <w:qFormat/>
    <w:uiPriority w:val="0"/>
  </w:style>
  <w:style w:type="character" w:styleId="59">
    <w:name w:val="FollowedHyperlink"/>
    <w:basedOn w:val="56"/>
    <w:qFormat/>
    <w:uiPriority w:val="0"/>
    <w:rPr>
      <w:color w:val="800080"/>
      <w:u w:val="single"/>
    </w:rPr>
  </w:style>
  <w:style w:type="character" w:styleId="60">
    <w:name w:val="Emphasis"/>
    <w:qFormat/>
    <w:uiPriority w:val="0"/>
    <w:rPr>
      <w:i/>
      <w:iCs/>
    </w:rPr>
  </w:style>
  <w:style w:type="character" w:styleId="61">
    <w:name w:val="Hyperlink"/>
    <w:basedOn w:val="56"/>
    <w:qFormat/>
    <w:uiPriority w:val="99"/>
    <w:rPr>
      <w:color w:val="0000FF"/>
      <w:spacing w:val="0"/>
      <w:w w:val="100"/>
      <w:szCs w:val="21"/>
      <w:u w:val="single"/>
      <w:lang w:val="en-US" w:eastAsia="zh-CN"/>
    </w:rPr>
  </w:style>
  <w:style w:type="character" w:styleId="62">
    <w:name w:val="annotation reference"/>
    <w:qFormat/>
    <w:uiPriority w:val="0"/>
    <w:rPr>
      <w:sz w:val="16"/>
    </w:rPr>
  </w:style>
  <w:style w:type="character" w:styleId="63">
    <w:name w:val="footnote reference"/>
    <w:basedOn w:val="56"/>
    <w:qFormat/>
    <w:uiPriority w:val="0"/>
    <w:rPr>
      <w:vertAlign w:val="superscript"/>
    </w:rPr>
  </w:style>
  <w:style w:type="table" w:styleId="65">
    <w:name w:val="Table Grid"/>
    <w:basedOn w:val="6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66">
    <w:name w:val="Balloon Text Char"/>
    <w:basedOn w:val="56"/>
    <w:link w:val="37"/>
    <w:qFormat/>
    <w:uiPriority w:val="0"/>
    <w:rPr>
      <w:kern w:val="2"/>
      <w:sz w:val="18"/>
      <w:szCs w:val="18"/>
    </w:rPr>
  </w:style>
  <w:style w:type="paragraph" w:customStyle="1" w:styleId="67">
    <w:name w:val="列出段落1"/>
    <w:basedOn w:val="1"/>
    <w:link w:val="272"/>
    <w:unhideWhenUsed/>
    <w:qFormat/>
    <w:uiPriority w:val="99"/>
    <w:pPr>
      <w:ind w:firstLine="420" w:firstLineChars="200"/>
    </w:pPr>
  </w:style>
  <w:style w:type="character" w:customStyle="1" w:styleId="68">
    <w:name w:val="Document Map Char"/>
    <w:basedOn w:val="56"/>
    <w:link w:val="26"/>
    <w:qFormat/>
    <w:uiPriority w:val="0"/>
    <w:rPr>
      <w:rFonts w:ascii="宋体"/>
      <w:kern w:val="2"/>
      <w:sz w:val="18"/>
      <w:szCs w:val="18"/>
    </w:rPr>
  </w:style>
  <w:style w:type="character" w:customStyle="1" w:styleId="69">
    <w:name w:val="Heading 1 Char"/>
    <w:basedOn w:val="56"/>
    <w:link w:val="2"/>
    <w:qFormat/>
    <w:uiPriority w:val="0"/>
    <w:rPr>
      <w:b/>
      <w:bCs/>
      <w:kern w:val="44"/>
      <w:sz w:val="44"/>
      <w:szCs w:val="44"/>
    </w:rPr>
  </w:style>
  <w:style w:type="character" w:customStyle="1" w:styleId="70">
    <w:name w:val="Heading 2 Char"/>
    <w:basedOn w:val="56"/>
    <w:link w:val="3"/>
    <w:qFormat/>
    <w:uiPriority w:val="0"/>
    <w:rPr>
      <w:rFonts w:ascii="Arial" w:hAnsi="Arial" w:eastAsia="MS Mincho"/>
      <w:sz w:val="32"/>
      <w:szCs w:val="32"/>
      <w:lang w:val="en-GB"/>
    </w:rPr>
  </w:style>
  <w:style w:type="character" w:customStyle="1" w:styleId="71">
    <w:name w:val="Heading 3 Char"/>
    <w:basedOn w:val="56"/>
    <w:link w:val="4"/>
    <w:qFormat/>
    <w:uiPriority w:val="0"/>
    <w:rPr>
      <w:b/>
      <w:bCs/>
      <w:kern w:val="2"/>
      <w:sz w:val="32"/>
      <w:szCs w:val="32"/>
    </w:rPr>
  </w:style>
  <w:style w:type="character" w:customStyle="1" w:styleId="72">
    <w:name w:val="Heading 4 Char"/>
    <w:basedOn w:val="56"/>
    <w:link w:val="5"/>
    <w:qFormat/>
    <w:uiPriority w:val="0"/>
    <w:rPr>
      <w:rFonts w:ascii="Arial" w:hAnsi="Arial" w:eastAsia="黑体"/>
      <w:b/>
      <w:kern w:val="2"/>
      <w:sz w:val="28"/>
      <w:szCs w:val="24"/>
    </w:rPr>
  </w:style>
  <w:style w:type="character" w:customStyle="1" w:styleId="73">
    <w:name w:val="Heading 5 Char"/>
    <w:basedOn w:val="56"/>
    <w:link w:val="6"/>
    <w:qFormat/>
    <w:uiPriority w:val="0"/>
    <w:rPr>
      <w:b/>
      <w:kern w:val="2"/>
      <w:sz w:val="28"/>
      <w:szCs w:val="24"/>
    </w:rPr>
  </w:style>
  <w:style w:type="character" w:customStyle="1" w:styleId="74">
    <w:name w:val="Heading 6 Char"/>
    <w:basedOn w:val="56"/>
    <w:link w:val="7"/>
    <w:qFormat/>
    <w:uiPriority w:val="0"/>
    <w:rPr>
      <w:rFonts w:ascii="Arial" w:hAnsi="Arial" w:eastAsia="黑体"/>
      <w:b/>
      <w:kern w:val="2"/>
      <w:sz w:val="24"/>
      <w:szCs w:val="24"/>
    </w:rPr>
  </w:style>
  <w:style w:type="character" w:customStyle="1" w:styleId="75">
    <w:name w:val="Heading 7 Char"/>
    <w:basedOn w:val="56"/>
    <w:link w:val="8"/>
    <w:qFormat/>
    <w:uiPriority w:val="0"/>
    <w:rPr>
      <w:b/>
      <w:kern w:val="2"/>
      <w:sz w:val="24"/>
      <w:szCs w:val="24"/>
    </w:rPr>
  </w:style>
  <w:style w:type="character" w:customStyle="1" w:styleId="76">
    <w:name w:val="Heading 8 Char"/>
    <w:basedOn w:val="56"/>
    <w:link w:val="9"/>
    <w:qFormat/>
    <w:uiPriority w:val="0"/>
    <w:rPr>
      <w:rFonts w:ascii="Arial" w:hAnsi="Arial" w:eastAsia="黑体"/>
      <w:kern w:val="2"/>
      <w:sz w:val="24"/>
      <w:szCs w:val="24"/>
    </w:rPr>
  </w:style>
  <w:style w:type="character" w:customStyle="1" w:styleId="77">
    <w:name w:val="Heading 9 Char"/>
    <w:basedOn w:val="56"/>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4"/>
    <w:qFormat/>
    <w:uiPriority w:val="99"/>
    <w:rPr>
      <w:rFonts w:ascii="Arial" w:hAnsi="Arial" w:eastAsia="黑体" w:cs="Arial"/>
      <w:kern w:val="2"/>
    </w:rPr>
  </w:style>
  <w:style w:type="character" w:customStyle="1" w:styleId="90">
    <w:name w:val="标题 3 Char Char"/>
    <w:basedOn w:val="56"/>
    <w:qFormat/>
    <w:uiPriority w:val="0"/>
    <w:rPr>
      <w:b/>
      <w:bCs/>
      <w:kern w:val="2"/>
      <w:sz w:val="32"/>
      <w:szCs w:val="32"/>
    </w:rPr>
  </w:style>
  <w:style w:type="character" w:customStyle="1" w:styleId="91">
    <w:name w:val="Comment Subject Char"/>
    <w:basedOn w:val="92"/>
    <w:link w:val="14"/>
    <w:semiHidden/>
    <w:qFormat/>
    <w:uiPriority w:val="0"/>
    <w:rPr>
      <w:rFonts w:ascii="Arial" w:hAnsi="Arial" w:eastAsia="MS Mincho"/>
      <w:b/>
      <w:bCs/>
      <w:lang w:val="en-GB" w:eastAsia="en-GB"/>
    </w:rPr>
  </w:style>
  <w:style w:type="character" w:customStyle="1" w:styleId="92">
    <w:name w:val="批注文字 Char"/>
    <w:basedOn w:val="56"/>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3"/>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6"/>
    <w:link w:val="44"/>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2"/>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6"/>
    <w:qFormat/>
    <w:uiPriority w:val="0"/>
    <w:rPr>
      <w:b/>
      <w:bCs/>
      <w:kern w:val="44"/>
      <w:sz w:val="44"/>
      <w:szCs w:val="44"/>
    </w:rPr>
  </w:style>
  <w:style w:type="character" w:customStyle="1" w:styleId="110">
    <w:name w:val="Doc-title Char Char"/>
    <w:basedOn w:val="56"/>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8"/>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4"/>
    <w:next w:val="44"/>
    <w:link w:val="114"/>
    <w:qFormat/>
    <w:uiPriority w:val="0"/>
  </w:style>
  <w:style w:type="character" w:customStyle="1" w:styleId="116">
    <w:name w:val="Plain Text Char"/>
    <w:basedOn w:val="56"/>
    <w:link w:val="32"/>
    <w:qFormat/>
    <w:uiPriority w:val="99"/>
    <w:rPr>
      <w:rFonts w:ascii="Consolas" w:hAnsi="Consolas" w:eastAsia="Calibri"/>
      <w:sz w:val="21"/>
      <w:szCs w:val="21"/>
      <w:lang w:eastAsia="en-US"/>
    </w:rPr>
  </w:style>
  <w:style w:type="character" w:customStyle="1" w:styleId="117">
    <w:name w:val="首示例 Char Char"/>
    <w:basedOn w:val="56"/>
    <w:link w:val="118"/>
    <w:qFormat/>
    <w:uiPriority w:val="0"/>
    <w:rPr>
      <w:rFonts w:ascii="宋体" w:hAnsi="宋体"/>
      <w:kern w:val="2"/>
      <w:sz w:val="18"/>
      <w:szCs w:val="18"/>
    </w:rPr>
  </w:style>
  <w:style w:type="paragraph" w:customStyle="1" w:styleId="118">
    <w:name w:val="首示例"/>
    <w:next w:val="44"/>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6"/>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6"/>
    <w:link w:val="28"/>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9"/>
    <w:qFormat/>
    <w:uiPriority w:val="99"/>
    <w:rPr>
      <w:kern w:val="2"/>
      <w:sz w:val="18"/>
      <w:szCs w:val="18"/>
    </w:rPr>
  </w:style>
  <w:style w:type="character" w:customStyle="1" w:styleId="130">
    <w:name w:val="Doc-text2 Char Char"/>
    <w:basedOn w:val="56"/>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4"/>
    <w:qFormat/>
    <w:uiPriority w:val="0"/>
    <w:pPr>
      <w:outlineLvl w:val="4"/>
    </w:pPr>
  </w:style>
  <w:style w:type="paragraph" w:customStyle="1" w:styleId="143">
    <w:name w:val="二级条标题"/>
    <w:basedOn w:val="144"/>
    <w:next w:val="44"/>
    <w:qFormat/>
    <w:uiPriority w:val="0"/>
    <w:pPr>
      <w:spacing w:beforeLines="0" w:afterLines="0"/>
      <w:outlineLvl w:val="3"/>
    </w:pPr>
  </w:style>
  <w:style w:type="paragraph" w:customStyle="1" w:styleId="144">
    <w:name w:val="一级条标题"/>
    <w:next w:val="44"/>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4"/>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4"/>
    <w:qFormat/>
    <w:uiPriority w:val="0"/>
    <w:pPr>
      <w:outlineLvl w:val="5"/>
    </w:pPr>
  </w:style>
  <w:style w:type="character" w:customStyle="1" w:styleId="149">
    <w:name w:val="Footnote Text Char"/>
    <w:basedOn w:val="56"/>
    <w:link w:val="45"/>
    <w:qFormat/>
    <w:uiPriority w:val="0"/>
    <w:rPr>
      <w:rFonts w:ascii="宋体"/>
      <w:kern w:val="2"/>
      <w:sz w:val="18"/>
      <w:szCs w:val="18"/>
    </w:rPr>
  </w:style>
  <w:style w:type="paragraph" w:customStyle="1" w:styleId="150">
    <w:name w:val="章标题"/>
    <w:next w:val="44"/>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4"/>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4"/>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4"/>
    <w:qFormat/>
    <w:uiPriority w:val="0"/>
    <w:pPr>
      <w:tabs>
        <w:tab w:val="left" w:pos="360"/>
        <w:tab w:val="left" w:pos="864"/>
        <w:tab w:val="left" w:pos="1008"/>
      </w:tabs>
      <w:outlineLvl w:val="5"/>
    </w:pPr>
  </w:style>
  <w:style w:type="paragraph" w:customStyle="1" w:styleId="156">
    <w:name w:val="附录三级条标题"/>
    <w:basedOn w:val="157"/>
    <w:next w:val="44"/>
    <w:qFormat/>
    <w:uiPriority w:val="0"/>
    <w:pPr>
      <w:tabs>
        <w:tab w:val="left" w:pos="360"/>
        <w:tab w:val="left" w:pos="864"/>
        <w:tab w:val="left" w:pos="1008"/>
      </w:tabs>
      <w:ind w:left="1008" w:hanging="1008"/>
      <w:outlineLvl w:val="4"/>
    </w:pPr>
  </w:style>
  <w:style w:type="paragraph" w:customStyle="1" w:styleId="157">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6"/>
    <w:semiHidden/>
    <w:qFormat/>
    <w:uiPriority w:val="0"/>
    <w:rPr>
      <w:rFonts w:ascii="宋体" w:hAnsi="Courier New" w:cs="Courier New"/>
      <w:kern w:val="2"/>
      <w:sz w:val="21"/>
      <w:szCs w:val="21"/>
    </w:rPr>
  </w:style>
  <w:style w:type="paragraph" w:customStyle="1" w:styleId="162">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4"/>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6"/>
    <w:link w:val="15"/>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6"/>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5"/>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6"/>
    <w:link w:val="36"/>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4"/>
    <w:next w:val="44"/>
    <w:qFormat/>
    <w:uiPriority w:val="0"/>
    <w:pPr>
      <w:ind w:firstLine="360"/>
    </w:pPr>
    <w:rPr>
      <w:sz w:val="18"/>
    </w:rPr>
  </w:style>
  <w:style w:type="paragraph" w:customStyle="1" w:styleId="201">
    <w:name w:val="图标脚注说明"/>
    <w:basedOn w:val="44"/>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4"/>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7"/>
    <w:qFormat/>
    <w:uiPriority w:val="0"/>
  </w:style>
  <w:style w:type="paragraph" w:customStyle="1" w:styleId="215">
    <w:name w:val="其他发布日期"/>
    <w:basedOn w:val="165"/>
    <w:qFormat/>
    <w:uiPriority w:val="0"/>
  </w:style>
  <w:style w:type="paragraph" w:customStyle="1" w:styleId="216">
    <w:name w:val="B4"/>
    <w:basedOn w:val="48"/>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4"/>
    <w:qFormat/>
    <w:uiPriority w:val="0"/>
    <w:pPr>
      <w:spacing w:line="14" w:lineRule="exact"/>
      <w:ind w:left="811" w:hanging="448"/>
      <w:jc w:val="center"/>
      <w:outlineLvl w:val="0"/>
    </w:pPr>
    <w:rPr>
      <w:color w:val="FFFFFF"/>
    </w:rPr>
  </w:style>
  <w:style w:type="paragraph" w:customStyle="1" w:styleId="221">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2">
    <w:name w:val="附录标题"/>
    <w:basedOn w:val="44"/>
    <w:next w:val="44"/>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4"/>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4"/>
    <w:next w:val="44"/>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6"/>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6"/>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5C52A4-2B00-4A55-8E2F-22023C5E118B}">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3</Pages>
  <Words>1168</Words>
  <Characters>6660</Characters>
  <Lines>55</Lines>
  <Paragraphs>15</Paragraphs>
  <TotalTime>4</TotalTime>
  <ScaleCrop>false</ScaleCrop>
  <LinksUpToDate>false</LinksUpToDate>
  <CharactersWithSpaces>7813</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2020-04-09T23:45:00Z</dcterms:created>
  <dc:creator>10033860</dc:creator>
  <cp:lastModifiedBy>ZTE-ZMJ</cp:lastModifiedBy>
  <cp:lastPrinted>2113-01-01T00:00:00Z</cp:lastPrinted>
  <dcterms:modified xsi:type="dcterms:W3CDTF">2020-04-10T01:11:27Z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